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DB267">
      <w:pPr>
        <w:pStyle w:val="3"/>
        <w:keepNext/>
        <w:keepLines/>
        <w:pageBreakBefore w:val="0"/>
        <w:widowControl w:val="0"/>
        <w:kinsoku/>
        <w:wordWrap/>
        <w:overflowPunct/>
        <w:topLinePunct w:val="0"/>
        <w:autoSpaceDE/>
        <w:autoSpaceDN/>
        <w:bidi w:val="0"/>
        <w:adjustRightInd/>
        <w:snapToGrid/>
        <w:spacing w:before="0" w:after="156" w:afterLines="50" w:line="360" w:lineRule="auto"/>
        <w:jc w:val="center"/>
        <w:textAlignment w:val="auto"/>
        <w:rPr>
          <w:rFonts w:hint="eastAsia"/>
          <w:sz w:val="30"/>
          <w:szCs w:val="30"/>
        </w:rPr>
      </w:pPr>
      <w:r>
        <w:rPr>
          <w:rFonts w:hint="eastAsia"/>
          <w:sz w:val="30"/>
          <w:szCs w:val="30"/>
        </w:rPr>
        <w:t>广东凌霄泵业股份有限公司</w:t>
      </w:r>
    </w:p>
    <w:p w14:paraId="0310F026">
      <w:pPr>
        <w:pStyle w:val="3"/>
        <w:keepNext/>
        <w:keepLines/>
        <w:pageBreakBefore w:val="0"/>
        <w:widowControl w:val="0"/>
        <w:kinsoku/>
        <w:wordWrap/>
        <w:overflowPunct/>
        <w:topLinePunct w:val="0"/>
        <w:autoSpaceDE/>
        <w:autoSpaceDN/>
        <w:bidi w:val="0"/>
        <w:adjustRightInd/>
        <w:snapToGrid/>
        <w:spacing w:before="0" w:after="156" w:afterLines="50" w:line="360" w:lineRule="auto"/>
        <w:jc w:val="center"/>
        <w:textAlignment w:val="auto"/>
        <w:rPr>
          <w:rFonts w:hint="eastAsia"/>
          <w:sz w:val="30"/>
          <w:szCs w:val="30"/>
        </w:rPr>
      </w:pPr>
      <w:bookmarkStart w:id="0" w:name="_GoBack"/>
      <w:bookmarkEnd w:id="0"/>
      <w:r>
        <w:rPr>
          <w:rFonts w:hint="eastAsia"/>
          <w:sz w:val="30"/>
          <w:szCs w:val="30"/>
        </w:rPr>
        <w:t>机构投资者接待管理制度</w:t>
      </w:r>
    </w:p>
    <w:p w14:paraId="4C812781"/>
    <w:p w14:paraId="3276B0EB">
      <w:pPr>
        <w:pStyle w:val="14"/>
        <w:keepNext/>
        <w:keepLines/>
        <w:pageBreakBefore w:val="0"/>
        <w:widowControl/>
        <w:numPr>
          <w:ilvl w:val="0"/>
          <w:numId w:val="1"/>
        </w:numPr>
        <w:kinsoku/>
        <w:wordWrap/>
        <w:overflowPunct/>
        <w:topLinePunct w:val="0"/>
        <w:autoSpaceDE/>
        <w:autoSpaceDN/>
        <w:bidi w:val="0"/>
        <w:adjustRightInd/>
        <w:snapToGrid/>
        <w:spacing w:before="469" w:beforeLines="150" w:after="313" w:afterLines="100" w:line="360" w:lineRule="auto"/>
        <w:jc w:val="center"/>
        <w:textAlignment w:val="auto"/>
        <w:rPr>
          <w:sz w:val="24"/>
          <w:szCs w:val="24"/>
        </w:rPr>
      </w:pPr>
      <w:r>
        <w:rPr>
          <w:rFonts w:hint="eastAsia"/>
          <w:sz w:val="24"/>
          <w:szCs w:val="24"/>
        </w:rPr>
        <w:t>总  则</w:t>
      </w:r>
    </w:p>
    <w:p w14:paraId="57014C50">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为贯彻证券市场公开、公平、公正原则，规范广东凌霄泵业股份有限公司（以下简称“公司”）对外接待机构调研行为，加强公司与外界的交流和沟通，增加公司信息披露的透明度及公平性，改善公司治理结构，增进资本市场对公司的了解和支持，提高公司投资者关系管理水平，根据《中华人民共和国公司法》、《中华人民共和国证券法》、《深圳证券交易所股票上市规则》、《深圳证券交易所上市公司自律监管指引第1号——主板上市公司规范运作》等法律法规和规范性文件以及《广东凌霄泵业股份有限公司章程》（以下简称“公司章程”）、公司信息披露与投资者关系管理有关规定，结合公司实际情况，制订本制度。</w:t>
      </w:r>
    </w:p>
    <w:p w14:paraId="35FB218B">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本制度所称机构投资者是指比一般中小投资者更容易接触到信息披露主体和更具信息优势，可能利用未公开重大消息进行交易的机构，包括但不限于：</w:t>
      </w:r>
    </w:p>
    <w:p w14:paraId="1C9A916C">
      <w:pPr>
        <w:pStyle w:val="15"/>
        <w:keepNext w:val="0"/>
        <w:keepLines w:val="0"/>
        <w:pageBreakBefore w:val="0"/>
        <w:widowControl w:val="0"/>
        <w:numPr>
          <w:ilvl w:val="0"/>
          <w:numId w:val="3"/>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从事证券分析、咨询及其他证券服务业的机构；</w:t>
      </w:r>
    </w:p>
    <w:p w14:paraId="063114B4">
      <w:pPr>
        <w:pStyle w:val="15"/>
        <w:keepNext w:val="0"/>
        <w:keepLines w:val="0"/>
        <w:pageBreakBefore w:val="0"/>
        <w:widowControl w:val="0"/>
        <w:numPr>
          <w:ilvl w:val="0"/>
          <w:numId w:val="3"/>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从事证券投资的机构；</w:t>
      </w:r>
    </w:p>
    <w:p w14:paraId="72D7B698">
      <w:pPr>
        <w:pStyle w:val="15"/>
        <w:keepNext w:val="0"/>
        <w:keepLines w:val="0"/>
        <w:pageBreakBefore w:val="0"/>
        <w:widowControl w:val="0"/>
        <w:numPr>
          <w:ilvl w:val="0"/>
          <w:numId w:val="3"/>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持有公司总股本5%以上股份的股东及其关联人；</w:t>
      </w:r>
    </w:p>
    <w:p w14:paraId="03AA13CF">
      <w:pPr>
        <w:pStyle w:val="15"/>
        <w:keepNext w:val="0"/>
        <w:keepLines w:val="0"/>
        <w:pageBreakBefore w:val="0"/>
        <w:widowControl w:val="0"/>
        <w:numPr>
          <w:ilvl w:val="0"/>
          <w:numId w:val="3"/>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深圳证券交易所认定的其他机构。</w:t>
      </w:r>
    </w:p>
    <w:p w14:paraId="72FEE875">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公司接待工作遵循以下基本原则：</w:t>
      </w:r>
    </w:p>
    <w:p w14:paraId="161BD623">
      <w:pPr>
        <w:pStyle w:val="15"/>
        <w:keepNext w:val="0"/>
        <w:keepLines w:val="0"/>
        <w:pageBreakBefore w:val="0"/>
        <w:widowControl w:val="0"/>
        <w:numPr>
          <w:ilvl w:val="0"/>
          <w:numId w:val="4"/>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公平、公正、公开原则</w:t>
      </w:r>
    </w:p>
    <w:p w14:paraId="20DA2291">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公司人员在进行接待活动中，应严格遵循公平、公正、公开原则，不得实行差别对待政策，不得有选择性的、私下的或者暗示等方式向特定对象披露、透露</w:t>
      </w:r>
      <w:r>
        <w:rPr>
          <w:rFonts w:hint="eastAsia"/>
          <w:lang w:eastAsia="zh-CN"/>
        </w:rPr>
        <w:t>或者</w:t>
      </w:r>
      <w:r>
        <w:rPr>
          <w:rFonts w:hint="eastAsia"/>
        </w:rPr>
        <w:t>泄露非公开重大信息。</w:t>
      </w:r>
    </w:p>
    <w:p w14:paraId="26545BDF">
      <w:pPr>
        <w:pStyle w:val="15"/>
        <w:keepNext w:val="0"/>
        <w:keepLines w:val="0"/>
        <w:pageBreakBefore w:val="0"/>
        <w:widowControl w:val="0"/>
        <w:numPr>
          <w:ilvl w:val="0"/>
          <w:numId w:val="4"/>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诚实守信的原则</w:t>
      </w:r>
    </w:p>
    <w:p w14:paraId="3DD8860C">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公司的接待工作本着客观、真实和准确的原则，不得有虚假记载和误导性陈述，也不得有夸大或者贬低行为。</w:t>
      </w:r>
    </w:p>
    <w:p w14:paraId="5CBFBB24">
      <w:pPr>
        <w:pStyle w:val="15"/>
        <w:keepNext w:val="0"/>
        <w:keepLines w:val="0"/>
        <w:pageBreakBefore w:val="0"/>
        <w:widowControl w:val="0"/>
        <w:numPr>
          <w:ilvl w:val="0"/>
          <w:numId w:val="4"/>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保密原则</w:t>
      </w:r>
    </w:p>
    <w:p w14:paraId="2E75099A">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公司的接待人员不得擅自向对方披露、透露</w:t>
      </w:r>
      <w:r>
        <w:rPr>
          <w:rFonts w:hint="eastAsia"/>
          <w:lang w:eastAsia="zh-CN"/>
        </w:rPr>
        <w:t>或者</w:t>
      </w:r>
      <w:r>
        <w:rPr>
          <w:rFonts w:hint="eastAsia"/>
        </w:rPr>
        <w:t>泄露非公开重大信息。</w:t>
      </w:r>
    </w:p>
    <w:p w14:paraId="34B28E30">
      <w:pPr>
        <w:pStyle w:val="15"/>
        <w:keepNext w:val="0"/>
        <w:keepLines w:val="0"/>
        <w:pageBreakBefore w:val="0"/>
        <w:widowControl w:val="0"/>
        <w:numPr>
          <w:ilvl w:val="0"/>
          <w:numId w:val="4"/>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 xml:space="preserve">合规披露信息原则 </w:t>
      </w:r>
    </w:p>
    <w:p w14:paraId="0DE2A4D0">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公司遵守国家法律、法规及证券监管部门对上市公司信息披露的规定，在接待过程中保证信息披露真实、准确、完整、及时、公平。</w:t>
      </w:r>
    </w:p>
    <w:p w14:paraId="1BA5137E">
      <w:pPr>
        <w:pStyle w:val="15"/>
        <w:keepNext w:val="0"/>
        <w:keepLines w:val="0"/>
        <w:pageBreakBefore w:val="0"/>
        <w:widowControl w:val="0"/>
        <w:numPr>
          <w:ilvl w:val="0"/>
          <w:numId w:val="4"/>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高效低耗原则</w:t>
      </w:r>
    </w:p>
    <w:p w14:paraId="4CCD3CC9">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提高工作效率，降低接待的成本。</w:t>
      </w:r>
    </w:p>
    <w:p w14:paraId="161F1039">
      <w:pPr>
        <w:pStyle w:val="15"/>
        <w:keepNext w:val="0"/>
        <w:keepLines w:val="0"/>
        <w:pageBreakBefore w:val="0"/>
        <w:widowControl w:val="0"/>
        <w:numPr>
          <w:ilvl w:val="0"/>
          <w:numId w:val="4"/>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互动沟通原则</w:t>
      </w:r>
    </w:p>
    <w:p w14:paraId="1E263521">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公司将主动听取来访者的意见、建议，实现双向沟通，形成良性互动。</w:t>
      </w:r>
    </w:p>
    <w:p w14:paraId="68E9C211">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本制度适用于公司及下属子公司。</w:t>
      </w:r>
    </w:p>
    <w:p w14:paraId="415EC2B9">
      <w:pPr>
        <w:pStyle w:val="14"/>
        <w:keepNext/>
        <w:keepLines/>
        <w:pageBreakBefore w:val="0"/>
        <w:widowControl/>
        <w:numPr>
          <w:ilvl w:val="0"/>
          <w:numId w:val="1"/>
        </w:numPr>
        <w:kinsoku/>
        <w:wordWrap/>
        <w:overflowPunct/>
        <w:topLinePunct w:val="0"/>
        <w:autoSpaceDE/>
        <w:autoSpaceDN/>
        <w:bidi w:val="0"/>
        <w:adjustRightInd/>
        <w:snapToGrid/>
        <w:spacing w:before="469" w:beforeLines="150" w:after="313" w:afterLines="100" w:line="360" w:lineRule="auto"/>
        <w:jc w:val="center"/>
        <w:textAlignment w:val="auto"/>
        <w:rPr>
          <w:rFonts w:hint="eastAsia"/>
          <w:sz w:val="24"/>
          <w:szCs w:val="24"/>
        </w:rPr>
      </w:pPr>
      <w:r>
        <w:rPr>
          <w:rFonts w:hint="eastAsia"/>
          <w:sz w:val="24"/>
          <w:szCs w:val="24"/>
        </w:rPr>
        <w:t>责任人及职责划分</w:t>
      </w:r>
    </w:p>
    <w:p w14:paraId="1AC23141">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接待机构调研事务工作的第一负责人为公司董事会秘书，公司证券事务部协助董事会秘书做好接待工作。公司证券事务部负责接待事务具体工作，由董事会秘书直接领导。董事会秘书可以授权专业人员负责处理接待工作，接待人员均须经过董事会秘书及公司的专业培训和指导。除本制度确认的人员</w:t>
      </w:r>
      <w:r>
        <w:rPr>
          <w:rFonts w:hint="eastAsia"/>
          <w:lang w:eastAsia="zh-CN"/>
        </w:rPr>
        <w:t>或者</w:t>
      </w:r>
      <w:r>
        <w:rPr>
          <w:rFonts w:hint="eastAsia"/>
        </w:rPr>
        <w:t>合法授权的人员外，公司其他部门和人员不参与接待工作。 公司工作人员在日常工作业务往来过程中，应婉言谢绝对方有关未披露的公司业绩、未披露的重大合同等提问的回答。</w:t>
      </w:r>
    </w:p>
    <w:p w14:paraId="74635330">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公司从事接待工作的人员需要具备以下素质和技能：</w:t>
      </w:r>
    </w:p>
    <w:p w14:paraId="78EBE122">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（一）良好的品行和职业素养，诚实守信；</w:t>
      </w:r>
    </w:p>
    <w:p w14:paraId="429A632A">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（二）良好的专业知识结构，熟悉公司治理、财务会计等相关法律、法规和证券市场的运作机制；</w:t>
      </w:r>
    </w:p>
    <w:p w14:paraId="58BADFC3">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（三）良好的沟通和协调能力；</w:t>
      </w:r>
    </w:p>
    <w:p w14:paraId="733EF950">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（四）全面了解公司以及公司所处行业的情况。</w:t>
      </w:r>
    </w:p>
    <w:p w14:paraId="106332A5">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机构投资者、分析师、新闻媒体等特定对象到公司现场参观、座谈沟通前，通过电话</w:t>
      </w:r>
      <w:r>
        <w:rPr>
          <w:rFonts w:hint="eastAsia"/>
          <w:lang w:eastAsia="zh-CN"/>
        </w:rPr>
        <w:t>或者</w:t>
      </w:r>
      <w:r>
        <w:rPr>
          <w:rFonts w:hint="eastAsia"/>
        </w:rPr>
        <w:t>邮件等方式进行沟通（详见附件1），待公司同意后，将对来访人员进行预约登记（详见附件 2）。证券事务部在接待前请对方填写好预约登记表的信息，确定本次接待采访的主要目的及拟提出的问题，由董事会秘书审定后交于相关部门准备材料，并协调组织接待工作。特定对象来访接待由公司证券事务部负责并在董事会秘书指导下共同完成。 来访者均须核实其身份并签署承诺书（详见附件3）。</w:t>
      </w:r>
    </w:p>
    <w:p w14:paraId="5FD204B0">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现场接待机构投资者、分析师、新闻媒体等特定对象由董事会秘书统一负责。公司证券事务部负责确认特定对象的身份，保存承诺书等相关文件。</w:t>
      </w:r>
    </w:p>
    <w:p w14:paraId="42188B74">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公司合理、妥善地安排参观过程，避免参观者有机会获取未公开信息。</w:t>
      </w:r>
    </w:p>
    <w:p w14:paraId="17318032">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在投资者说明会、业绩说明会、分析师会议、路演等投资者关系活动结束后应当及时编制投资者关系活动记录表（详见附件4），并于次一交易日开市前在互动易平台和公司网站（如有）刊载。活动记录表至少应当包括下列内容：</w:t>
      </w:r>
    </w:p>
    <w:p w14:paraId="01452390">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（一）活动参与人员、时间、地点、形式；</w:t>
      </w:r>
    </w:p>
    <w:p w14:paraId="20048197">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（二）交流内容及具体问答记录；</w:t>
      </w:r>
    </w:p>
    <w:p w14:paraId="5129587D">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（三）关于本次活动是否涉及应披露重大信息的说明；</w:t>
      </w:r>
    </w:p>
    <w:p w14:paraId="5DF32911">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（四）活动过程中所使用的演示文稿、提供的文档等附件（如有）；</w:t>
      </w:r>
    </w:p>
    <w:p w14:paraId="20C4CA1F">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（五）深圳证券交易所要求的其他内容。</w:t>
      </w:r>
    </w:p>
    <w:p w14:paraId="79BD9716">
      <w:pPr>
        <w:pStyle w:val="14"/>
        <w:keepNext/>
        <w:keepLines/>
        <w:pageBreakBefore w:val="0"/>
        <w:widowControl/>
        <w:numPr>
          <w:ilvl w:val="0"/>
          <w:numId w:val="1"/>
        </w:numPr>
        <w:kinsoku/>
        <w:wordWrap/>
        <w:overflowPunct/>
        <w:topLinePunct w:val="0"/>
        <w:autoSpaceDE/>
        <w:autoSpaceDN/>
        <w:bidi w:val="0"/>
        <w:adjustRightInd/>
        <w:snapToGrid/>
        <w:spacing w:before="469" w:beforeLines="150" w:after="313" w:afterLines="100" w:line="360" w:lineRule="auto"/>
        <w:jc w:val="center"/>
        <w:textAlignment w:val="auto"/>
        <w:rPr>
          <w:rFonts w:hint="eastAsia"/>
          <w:sz w:val="24"/>
          <w:szCs w:val="24"/>
        </w:rPr>
      </w:pPr>
      <w:r>
        <w:rPr>
          <w:rFonts w:hint="eastAsia"/>
          <w:sz w:val="24"/>
          <w:szCs w:val="24"/>
        </w:rPr>
        <w:t>机构投资者来访接待工作中的沟通内容</w:t>
      </w:r>
    </w:p>
    <w:p w14:paraId="7D99677D">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机构投资者来访接待工作中公司与来访对象沟通的内容主要包括：</w:t>
      </w:r>
    </w:p>
    <w:p w14:paraId="7201F460">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（一）公司的发展战略，包括公司的发展方向、发展规划、竞争战略和经营方</w:t>
      </w:r>
      <w:r>
        <w:rPr>
          <w:rFonts w:hint="eastAsia"/>
          <w:lang w:val="en-US" w:eastAsia="zh-CN"/>
        </w:rPr>
        <w:t>针</w:t>
      </w:r>
      <w:r>
        <w:rPr>
          <w:rFonts w:hint="eastAsia"/>
        </w:rPr>
        <w:t>等；</w:t>
      </w:r>
    </w:p>
    <w:p w14:paraId="07556E5A">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（二）法定信息披露及其说明，包括定期报告和临时公告等；</w:t>
      </w:r>
    </w:p>
    <w:p w14:paraId="504AFAC3">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（三）公司依法可以披露的经营管理信息及其说明，包括生产经营状况、财务状况、新产品</w:t>
      </w:r>
      <w:r>
        <w:rPr>
          <w:rFonts w:hint="eastAsia"/>
          <w:lang w:eastAsia="zh-CN"/>
        </w:rPr>
        <w:t>或者</w:t>
      </w:r>
      <w:r>
        <w:rPr>
          <w:rFonts w:hint="eastAsia"/>
        </w:rPr>
        <w:t>新技术的研究开发、经营业绩、股利分配等；</w:t>
      </w:r>
    </w:p>
    <w:p w14:paraId="0AB74C5F">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（四）公司依法可以披露的重大事项及其说明，包括公司的重大投资及其变化、资产重组、收购兼并、对外合作、重大合同、关联交易、重大诉讼</w:t>
      </w:r>
      <w:r>
        <w:rPr>
          <w:rFonts w:hint="eastAsia"/>
          <w:lang w:eastAsia="zh-CN"/>
        </w:rPr>
        <w:t>或者</w:t>
      </w:r>
      <w:r>
        <w:rPr>
          <w:rFonts w:hint="eastAsia"/>
        </w:rPr>
        <w:t>仲裁、管理层变动以及大股东变化等信息；</w:t>
      </w:r>
    </w:p>
    <w:p w14:paraId="63371383">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w:t>
      </w:r>
      <w:r>
        <w:rPr>
          <w:rFonts w:hint="eastAsia"/>
          <w:lang w:val="en-US" w:eastAsia="zh-CN"/>
        </w:rPr>
        <w:t>五</w:t>
      </w:r>
      <w:r>
        <w:rPr>
          <w:rFonts w:hint="eastAsia"/>
        </w:rPr>
        <w:t>）公司的环境、社会和治理信息；</w:t>
      </w:r>
    </w:p>
    <w:p w14:paraId="28E55198">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w:t>
      </w:r>
      <w:r>
        <w:rPr>
          <w:rFonts w:hint="eastAsia"/>
          <w:lang w:val="en-US" w:eastAsia="zh-CN"/>
        </w:rPr>
        <w:t>六</w:t>
      </w:r>
      <w:r>
        <w:rPr>
          <w:rFonts w:hint="eastAsia"/>
        </w:rPr>
        <w:t>）公司的文化建设；</w:t>
      </w:r>
    </w:p>
    <w:p w14:paraId="4905781A">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w:t>
      </w:r>
      <w:r>
        <w:rPr>
          <w:rFonts w:hint="eastAsia"/>
          <w:lang w:val="en-US" w:eastAsia="zh-CN"/>
        </w:rPr>
        <w:t>七</w:t>
      </w:r>
      <w:r>
        <w:rPr>
          <w:rFonts w:hint="eastAsia"/>
        </w:rPr>
        <w:t>）股东权利行使的方式、途径和程序等；</w:t>
      </w:r>
    </w:p>
    <w:p w14:paraId="03EF5995">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w:t>
      </w:r>
      <w:r>
        <w:rPr>
          <w:rFonts w:hint="eastAsia"/>
          <w:lang w:val="en-US" w:eastAsia="zh-CN"/>
        </w:rPr>
        <w:t>八</w:t>
      </w:r>
      <w:r>
        <w:rPr>
          <w:rFonts w:hint="eastAsia"/>
        </w:rPr>
        <w:t>）投资者诉求处理信息；</w:t>
      </w:r>
    </w:p>
    <w:p w14:paraId="37590CE2">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w:t>
      </w:r>
      <w:r>
        <w:rPr>
          <w:rFonts w:hint="eastAsia"/>
          <w:lang w:val="en-US" w:eastAsia="zh-CN"/>
        </w:rPr>
        <w:t>九</w:t>
      </w:r>
      <w:r>
        <w:rPr>
          <w:rFonts w:hint="eastAsia"/>
        </w:rPr>
        <w:t>）公司正在或者可能面临的风险和挑战；</w:t>
      </w:r>
    </w:p>
    <w:p w14:paraId="0A136FCF">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w:t>
      </w:r>
      <w:r>
        <w:rPr>
          <w:rFonts w:hint="eastAsia"/>
          <w:lang w:val="en-US" w:eastAsia="zh-CN"/>
        </w:rPr>
        <w:t>十</w:t>
      </w:r>
      <w:r>
        <w:rPr>
          <w:rFonts w:hint="eastAsia"/>
        </w:rPr>
        <w:t>）公司的其他相关信息。</w:t>
      </w:r>
    </w:p>
    <w:p w14:paraId="0A9481B8">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公司应派两人以上陪同参观，并由专人对参观人员的提问进行回答。董事会秘书及其指定接待人员应当按照公司实际情况，根据机构投资者拟咨询的问题提纲及专业培训要求统一回答来访者提出的问题。</w:t>
      </w:r>
    </w:p>
    <w:p w14:paraId="59EC5F7E">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在来访接待活动中公司相关接待人员在回答对方的询问时，应注意回答的真实性、准确性，同时尽量避免使用带有预测性言语。</w:t>
      </w:r>
    </w:p>
    <w:p w14:paraId="0474C285">
      <w:pPr>
        <w:pStyle w:val="14"/>
        <w:keepNext/>
        <w:keepLines/>
        <w:pageBreakBefore w:val="0"/>
        <w:widowControl/>
        <w:numPr>
          <w:ilvl w:val="0"/>
          <w:numId w:val="1"/>
        </w:numPr>
        <w:kinsoku/>
        <w:wordWrap/>
        <w:overflowPunct/>
        <w:topLinePunct w:val="0"/>
        <w:autoSpaceDE/>
        <w:autoSpaceDN/>
        <w:bidi w:val="0"/>
        <w:adjustRightInd/>
        <w:snapToGrid/>
        <w:spacing w:before="469" w:beforeLines="150" w:after="313" w:afterLines="100" w:line="360" w:lineRule="auto"/>
        <w:jc w:val="center"/>
        <w:textAlignment w:val="auto"/>
        <w:rPr>
          <w:rFonts w:hint="eastAsia"/>
          <w:sz w:val="24"/>
          <w:szCs w:val="24"/>
        </w:rPr>
      </w:pPr>
      <w:r>
        <w:rPr>
          <w:rFonts w:hint="eastAsia"/>
          <w:sz w:val="24"/>
          <w:szCs w:val="24"/>
        </w:rPr>
        <w:t>机构投资者接待工作</w:t>
      </w:r>
    </w:p>
    <w:p w14:paraId="191EBD48">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在年度报告、半年度报告公告前15日内，季度报告、业绩预告、业绩快报公告前5日内，</w:t>
      </w:r>
      <w:r>
        <w:rPr>
          <w:rFonts w:hint="eastAsia"/>
          <w:lang w:eastAsia="zh-CN"/>
        </w:rPr>
        <w:t>或者</w:t>
      </w:r>
      <w:r>
        <w:rPr>
          <w:rFonts w:hint="eastAsia"/>
        </w:rPr>
        <w:t>重大信息或者重大事项公告前，公司原则上不进行投资者现场调研、媒体采访等活动。</w:t>
      </w:r>
    </w:p>
    <w:p w14:paraId="60FFE0A9">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可以举办业绩说明会、路演、分析师说明会、专题研讨会、投资者接待等会议，就公司的经营、财务等情况广泛与投资者沟通和交流，仅限于公司公开披露的信息，不得提供未公开的重大信息。公司出席会议人员包括公司董事、董事会秘书和财务负责人等高级管理人员，必要时可邀请保荐机构等中介机构或者专门机构出席。</w:t>
      </w:r>
    </w:p>
    <w:p w14:paraId="187C99F4">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业绩说明会、分析师会议、路演应同时采取网上直播的方式进行，使所有投资者均有机会参与，并事先以公告的形式就活动时间、方式和主要内容等向投资者予以说明。</w:t>
      </w:r>
    </w:p>
    <w:p w14:paraId="77C0308B">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在进行业绩说明会、分析师会议、路演前，公司应确定投资者、分析师提问可回答范围，若回答的问题涉及未公开重大信息，或者回答的问题可以推理出未公开重大信息的，公司应拒绝回答。</w:t>
      </w:r>
    </w:p>
    <w:p w14:paraId="35271B27">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rPr>
          <w:rFonts w:hint="eastAsia"/>
        </w:rPr>
      </w:pPr>
      <w:r>
        <w:rPr>
          <w:rFonts w:hint="eastAsia"/>
        </w:rPr>
        <w:t>对于特定对象基于与公司交流沟通形成的调研纪要、投资价值分析报告等研究报告、新闻稿等文件在发布或者使用前告知公司。</w:t>
      </w:r>
    </w:p>
    <w:p w14:paraId="26746B26">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rPr>
          <w:rFonts w:hint="eastAsia"/>
        </w:rPr>
      </w:pPr>
      <w:r>
        <w:rPr>
          <w:rFonts w:hint="eastAsia"/>
        </w:rPr>
        <w:t>公司董事会秘书应认真核查特定对象知会的调研纪要、投资价值分析报告、新闻稿等文件。发现前款规定文件存在错误、误导性记载的，应当要求其改正，对方拒不改正的，公司应当及时对外公告进行说明；</w:t>
      </w:r>
    </w:p>
    <w:p w14:paraId="4545E3E8">
      <w:pPr>
        <w:pStyle w:val="15"/>
        <w:keepNext w:val="0"/>
        <w:keepLines w:val="0"/>
        <w:pageBreakBefore w:val="0"/>
        <w:widowControl w:val="0"/>
        <w:kinsoku/>
        <w:wordWrap/>
        <w:overflowPunct/>
        <w:topLinePunct w:val="0"/>
        <w:autoSpaceDE/>
        <w:autoSpaceDN/>
        <w:bidi w:val="0"/>
        <w:adjustRightInd/>
        <w:snapToGrid/>
        <w:spacing w:beforeLines="0" w:after="156" w:line="360" w:lineRule="auto"/>
        <w:ind w:firstLine="480"/>
        <w:textAlignment w:val="auto"/>
      </w:pPr>
      <w:r>
        <w:rPr>
          <w:rFonts w:hint="eastAsia"/>
        </w:rPr>
        <w:t>发现前述文件涉及未公开重大信息的，应当立即向深圳证券交易所报告并公告，同时要求调研机构及个人在公司正式公告前不得对外泄露该信息，并明确告知其在此期间不得买卖或者建议他人买卖公司股票及其衍生品种。</w:t>
      </w:r>
    </w:p>
    <w:p w14:paraId="6F7AD596">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公司向机构投资者、分析师</w:t>
      </w:r>
      <w:r>
        <w:rPr>
          <w:rFonts w:hint="eastAsia"/>
          <w:lang w:eastAsia="zh-CN"/>
        </w:rPr>
        <w:t>或者</w:t>
      </w:r>
      <w:r>
        <w:rPr>
          <w:rFonts w:hint="eastAsia"/>
        </w:rPr>
        <w:t>新闻媒体等特定对象提供已披露信息相关资料的，如其他投资者也提出相同的要求时，公司应平等予以提供。</w:t>
      </w:r>
    </w:p>
    <w:p w14:paraId="7C394D34">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公司可以通过召开新闻发布会、投资者交流会、网上说明会等方式扩大信息的传播范围，以使更多投资者及时知悉了解公司已公开的重大信息。</w:t>
      </w:r>
    </w:p>
    <w:p w14:paraId="6BBC5EF4">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公司实施再融资计划过程中(包括非公开发行)，向特定个人</w:t>
      </w:r>
      <w:r>
        <w:rPr>
          <w:rFonts w:hint="eastAsia"/>
          <w:lang w:eastAsia="zh-CN"/>
        </w:rPr>
        <w:t>或者</w:t>
      </w:r>
      <w:r>
        <w:rPr>
          <w:rFonts w:hint="eastAsia"/>
        </w:rPr>
        <w:t xml:space="preserve">机构进行询价、推介等活动时应特别注意信息披露的公平性，不得通过向其提供未公开重大信息以吸引其认购公司证券。   </w:t>
      </w:r>
    </w:p>
    <w:p w14:paraId="49252F74">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公司建立投资者关系档案，对接受</w:t>
      </w:r>
      <w:r>
        <w:rPr>
          <w:rFonts w:hint="eastAsia"/>
          <w:lang w:eastAsia="zh-CN"/>
        </w:rPr>
        <w:t>或者</w:t>
      </w:r>
      <w:r>
        <w:rPr>
          <w:rFonts w:hint="eastAsia"/>
        </w:rPr>
        <w:t>邀请对象的调研、沟通、采访及宣传、推广等活动予以详细记载，由证券事务部工作人员签字确认。至少应记载以下内容：</w:t>
      </w:r>
    </w:p>
    <w:p w14:paraId="6F501EB3">
      <w:pPr>
        <w:pStyle w:val="15"/>
        <w:keepNext w:val="0"/>
        <w:keepLines w:val="0"/>
        <w:pageBreakBefore w:val="0"/>
        <w:widowControl w:val="0"/>
        <w:numPr>
          <w:ilvl w:val="0"/>
          <w:numId w:val="5"/>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活动参与人员、时间、地点；</w:t>
      </w:r>
    </w:p>
    <w:p w14:paraId="2D5BF435">
      <w:pPr>
        <w:pStyle w:val="15"/>
        <w:keepNext w:val="0"/>
        <w:keepLines w:val="0"/>
        <w:pageBreakBefore w:val="0"/>
        <w:widowControl w:val="0"/>
        <w:numPr>
          <w:ilvl w:val="0"/>
          <w:numId w:val="5"/>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活动的详细内容；</w:t>
      </w:r>
    </w:p>
    <w:p w14:paraId="6C69EC98">
      <w:pPr>
        <w:pStyle w:val="15"/>
        <w:keepNext w:val="0"/>
        <w:keepLines w:val="0"/>
        <w:pageBreakBefore w:val="0"/>
        <w:widowControl w:val="0"/>
        <w:numPr>
          <w:ilvl w:val="0"/>
          <w:numId w:val="5"/>
        </w:numPr>
        <w:kinsoku/>
        <w:wordWrap/>
        <w:overflowPunct/>
        <w:topLinePunct w:val="0"/>
        <w:autoSpaceDE/>
        <w:autoSpaceDN/>
        <w:bidi w:val="0"/>
        <w:adjustRightInd/>
        <w:snapToGrid/>
        <w:spacing w:beforeLines="0" w:after="156" w:line="360" w:lineRule="auto"/>
        <w:ind w:left="0" w:leftChars="0" w:firstLine="420" w:firstLineChars="0"/>
        <w:textAlignment w:val="auto"/>
      </w:pPr>
      <w:r>
        <w:rPr>
          <w:rFonts w:hint="eastAsia"/>
        </w:rPr>
        <w:t>其他内容。</w:t>
      </w:r>
    </w:p>
    <w:p w14:paraId="3C26F1C7">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公司及相关信息披露义务人接受调研、沟通、采访等活动，</w:t>
      </w:r>
      <w:r>
        <w:rPr>
          <w:rFonts w:hint="eastAsia"/>
          <w:lang w:eastAsia="zh-CN"/>
        </w:rPr>
        <w:t>或者</w:t>
      </w:r>
      <w:r>
        <w:rPr>
          <w:rFonts w:hint="eastAsia"/>
        </w:rPr>
        <w:t>进行对外宣传、推广等活动时，不得以任何形式披露、透露</w:t>
      </w:r>
      <w:r>
        <w:rPr>
          <w:rFonts w:hint="eastAsia"/>
          <w:lang w:eastAsia="zh-CN"/>
        </w:rPr>
        <w:t>或者</w:t>
      </w:r>
      <w:r>
        <w:rPr>
          <w:rFonts w:hint="eastAsia"/>
        </w:rPr>
        <w:t>泄露非公开重大信息。</w:t>
      </w:r>
    </w:p>
    <w:p w14:paraId="7EEC59C4">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公司在接待活动中一旦以任何方式发布了法律、法规和规范性文件规定应披露的重大信息，应及时向深圳证券交易所报告，并及时进行正式披露。</w:t>
      </w:r>
    </w:p>
    <w:p w14:paraId="30F08D18">
      <w:pPr>
        <w:pStyle w:val="14"/>
        <w:keepNext/>
        <w:keepLines/>
        <w:pageBreakBefore w:val="0"/>
        <w:widowControl/>
        <w:numPr>
          <w:ilvl w:val="0"/>
          <w:numId w:val="1"/>
        </w:numPr>
        <w:kinsoku/>
        <w:wordWrap/>
        <w:overflowPunct/>
        <w:topLinePunct w:val="0"/>
        <w:autoSpaceDE/>
        <w:autoSpaceDN/>
        <w:bidi w:val="0"/>
        <w:adjustRightInd/>
        <w:snapToGrid/>
        <w:spacing w:before="469" w:beforeLines="150" w:after="313" w:afterLines="100" w:line="360" w:lineRule="auto"/>
        <w:jc w:val="center"/>
        <w:textAlignment w:val="auto"/>
        <w:rPr>
          <w:rFonts w:hint="eastAsia"/>
          <w:sz w:val="24"/>
          <w:szCs w:val="24"/>
        </w:rPr>
      </w:pPr>
      <w:r>
        <w:rPr>
          <w:rFonts w:hint="eastAsia"/>
          <w:sz w:val="24"/>
          <w:szCs w:val="24"/>
        </w:rPr>
        <w:t xml:space="preserve">责任 </w:t>
      </w:r>
    </w:p>
    <w:p w14:paraId="19AAD668">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公司接待人员及非合法授权人员违反本规定，给公司造成重大损害</w:t>
      </w:r>
      <w:r>
        <w:rPr>
          <w:rFonts w:hint="eastAsia"/>
          <w:lang w:eastAsia="zh-CN"/>
        </w:rPr>
        <w:t>或者</w:t>
      </w:r>
      <w:r>
        <w:rPr>
          <w:rFonts w:hint="eastAsia"/>
        </w:rPr>
        <w:t>损失的，应承担相应责任。触犯法律的，依法追究法律责任。</w:t>
      </w:r>
    </w:p>
    <w:p w14:paraId="6DF89EB4">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公司及其董事、高级管理人员、股东、实际控制人等相关信息披露义务人在接受调研、沟通、采访及宣传、推广等活动中违反本规定的，应当承担相应责任。</w:t>
      </w:r>
    </w:p>
    <w:p w14:paraId="0B2D8CF9">
      <w:pPr>
        <w:pStyle w:val="14"/>
        <w:keepNext/>
        <w:keepLines/>
        <w:pageBreakBefore w:val="0"/>
        <w:widowControl/>
        <w:numPr>
          <w:ilvl w:val="0"/>
          <w:numId w:val="1"/>
        </w:numPr>
        <w:kinsoku/>
        <w:wordWrap/>
        <w:overflowPunct/>
        <w:topLinePunct w:val="0"/>
        <w:autoSpaceDE/>
        <w:autoSpaceDN/>
        <w:bidi w:val="0"/>
        <w:adjustRightInd/>
        <w:snapToGrid/>
        <w:spacing w:before="469" w:beforeLines="150" w:after="313" w:afterLines="100" w:line="360" w:lineRule="auto"/>
        <w:jc w:val="center"/>
        <w:textAlignment w:val="auto"/>
        <w:rPr>
          <w:rFonts w:hint="eastAsia"/>
          <w:sz w:val="24"/>
          <w:szCs w:val="24"/>
        </w:rPr>
      </w:pPr>
      <w:r>
        <w:rPr>
          <w:rFonts w:hint="eastAsia"/>
          <w:sz w:val="24"/>
          <w:szCs w:val="24"/>
        </w:rPr>
        <w:t>附则</w:t>
      </w:r>
    </w:p>
    <w:p w14:paraId="116DCBFF">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本制度未尽事宜，按照有关法律、法规、规范性文件和公司《章程》、《信息披露管理制度》等相关规定执行。</w:t>
      </w:r>
    </w:p>
    <w:p w14:paraId="2E8EC5CB">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本制度由公司董事会负责解释和修订。</w:t>
      </w:r>
    </w:p>
    <w:p w14:paraId="288EF385">
      <w:pPr>
        <w:pStyle w:val="15"/>
        <w:keepNext w:val="0"/>
        <w:keepLines w:val="0"/>
        <w:pageBreakBefore w:val="0"/>
        <w:widowControl w:val="0"/>
        <w:numPr>
          <w:ilvl w:val="0"/>
          <w:numId w:val="2"/>
        </w:numPr>
        <w:kinsoku/>
        <w:wordWrap/>
        <w:overflowPunct/>
        <w:topLinePunct w:val="0"/>
        <w:autoSpaceDE/>
        <w:autoSpaceDN/>
        <w:bidi w:val="0"/>
        <w:adjustRightInd/>
        <w:snapToGrid/>
        <w:spacing w:beforeLines="0" w:after="156" w:line="360" w:lineRule="auto"/>
        <w:ind w:left="0" w:leftChars="0" w:firstLine="480" w:firstLineChars="200"/>
        <w:textAlignment w:val="auto"/>
      </w:pPr>
      <w:r>
        <w:rPr>
          <w:rFonts w:hint="eastAsia"/>
        </w:rPr>
        <w:t>本制度经公司董事会审议通过之日起生效。</w:t>
      </w:r>
    </w:p>
    <w:p w14:paraId="1014BEF3">
      <w:pPr>
        <w:pStyle w:val="15"/>
        <w:numPr>
          <w:ilvl w:val="0"/>
          <w:numId w:val="0"/>
        </w:numPr>
        <w:spacing w:before="156" w:after="156" w:line="440" w:lineRule="exact"/>
        <w:ind w:leftChars="200"/>
      </w:pPr>
    </w:p>
    <w:tbl>
      <w:tblPr>
        <w:tblStyle w:val="9"/>
        <w:tblW w:w="0" w:type="auto"/>
        <w:tblInd w:w="45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38"/>
      </w:tblGrid>
      <w:tr w14:paraId="6A55A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8" w:type="dxa"/>
            <w:noWrap w:val="0"/>
            <w:vAlign w:val="top"/>
          </w:tcPr>
          <w:p w14:paraId="56C170B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vertAlign w:val="baseline"/>
                <w:lang w:eastAsia="zh-CN"/>
              </w:rPr>
            </w:pPr>
            <w:r>
              <w:rPr>
                <w:rFonts w:hint="default" w:ascii="Times New Roman" w:hAnsi="Times New Roman" w:cs="Times New Roman"/>
                <w:b/>
                <w:sz w:val="24"/>
              </w:rPr>
              <w:t>广东凌霄泵业股份有限公司董事会</w:t>
            </w:r>
          </w:p>
        </w:tc>
      </w:tr>
      <w:tr w14:paraId="49AA3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8" w:type="dxa"/>
            <w:noWrap w:val="0"/>
            <w:vAlign w:val="top"/>
          </w:tcPr>
          <w:p w14:paraId="3E2F0AC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vertAlign w:val="baseline"/>
                <w:lang w:eastAsia="zh-CN"/>
              </w:rPr>
            </w:pPr>
            <w:r>
              <w:rPr>
                <w:rFonts w:hint="default" w:ascii="Times New Roman" w:hAnsi="Times New Roman" w:cs="Times New Roman"/>
                <w:b/>
                <w:sz w:val="24"/>
                <w:lang w:eastAsia="zh-CN"/>
              </w:rPr>
              <w:t>2025年</w:t>
            </w:r>
            <w:r>
              <w:rPr>
                <w:rFonts w:hint="default" w:ascii="Times New Roman" w:hAnsi="Times New Roman" w:cs="Times New Roman"/>
                <w:b/>
                <w:sz w:val="24"/>
              </w:rPr>
              <w:t>8月</w:t>
            </w:r>
          </w:p>
        </w:tc>
      </w:tr>
    </w:tbl>
    <w:p w14:paraId="21AF96B5">
      <w:r>
        <w:br w:type="page"/>
      </w:r>
    </w:p>
    <w:p w14:paraId="60BB024C">
      <w:pPr>
        <w:pStyle w:val="15"/>
        <w:spacing w:before="156" w:after="156"/>
        <w:ind w:firstLine="482"/>
        <w:rPr>
          <w:b/>
        </w:rPr>
      </w:pPr>
      <w:r>
        <w:rPr>
          <w:rFonts w:hint="eastAsia"/>
          <w:b/>
        </w:rPr>
        <w:t>附件1</w:t>
      </w:r>
    </w:p>
    <w:p w14:paraId="274E44CD">
      <w:pPr>
        <w:pStyle w:val="15"/>
        <w:spacing w:before="156" w:after="156"/>
        <w:ind w:firstLine="480"/>
      </w:pPr>
      <w:r>
        <w:rPr>
          <w:rFonts w:hint="eastAsia"/>
        </w:rPr>
        <w:t>预约须知</w:t>
      </w:r>
    </w:p>
    <w:p w14:paraId="35E1AAA7">
      <w:pPr>
        <w:pStyle w:val="15"/>
        <w:spacing w:before="156" w:after="156"/>
        <w:ind w:firstLine="480"/>
      </w:pPr>
      <w:r>
        <w:rPr>
          <w:rFonts w:hint="eastAsia"/>
        </w:rPr>
        <w:t>一、预约方式</w:t>
      </w:r>
    </w:p>
    <w:p w14:paraId="178E27A5">
      <w:pPr>
        <w:pStyle w:val="15"/>
        <w:spacing w:before="156" w:after="156"/>
        <w:ind w:firstLine="480"/>
      </w:pPr>
      <w:r>
        <w:rPr>
          <w:rFonts w:hint="eastAsia"/>
        </w:rPr>
        <w:t>电话、传真、邮件等方式</w:t>
      </w:r>
    </w:p>
    <w:p w14:paraId="4B4B85BC">
      <w:pPr>
        <w:pStyle w:val="15"/>
        <w:spacing w:before="156" w:after="156"/>
        <w:ind w:firstLine="480"/>
      </w:pPr>
      <w:r>
        <w:rPr>
          <w:rFonts w:hint="eastAsia"/>
        </w:rPr>
        <w:t>办公时间：每周一至周五；</w:t>
      </w:r>
    </w:p>
    <w:p w14:paraId="2A2AA7A7">
      <w:pPr>
        <w:pStyle w:val="15"/>
        <w:spacing w:before="156" w:after="156"/>
        <w:ind w:firstLine="480"/>
      </w:pPr>
      <w:r>
        <w:rPr>
          <w:rFonts w:hint="eastAsia"/>
        </w:rPr>
        <w:t>接待时间：上午9:00-12:00，下午14:00-17:00</w:t>
      </w:r>
    </w:p>
    <w:p w14:paraId="29003609">
      <w:pPr>
        <w:pStyle w:val="15"/>
        <w:spacing w:before="156" w:after="156"/>
        <w:ind w:firstLine="480"/>
      </w:pPr>
      <w:r>
        <w:rPr>
          <w:rFonts w:hint="eastAsia"/>
        </w:rPr>
        <w:t>联系电话：</w:t>
      </w:r>
    </w:p>
    <w:p w14:paraId="600A3259">
      <w:pPr>
        <w:pStyle w:val="15"/>
        <w:spacing w:before="156" w:after="156"/>
        <w:ind w:firstLine="480"/>
      </w:pPr>
      <w:r>
        <w:rPr>
          <w:rFonts w:hint="eastAsia"/>
        </w:rPr>
        <w:t>传真：</w:t>
      </w:r>
    </w:p>
    <w:p w14:paraId="2B6189D4">
      <w:pPr>
        <w:pStyle w:val="15"/>
        <w:spacing w:before="156" w:after="156"/>
        <w:ind w:firstLine="480"/>
      </w:pPr>
      <w:r>
        <w:rPr>
          <w:rFonts w:hint="eastAsia"/>
        </w:rPr>
        <w:t>联系地址：</w:t>
      </w:r>
    </w:p>
    <w:p w14:paraId="0D05D34C">
      <w:pPr>
        <w:pStyle w:val="15"/>
        <w:spacing w:before="156" w:after="156"/>
        <w:ind w:firstLine="480"/>
      </w:pPr>
      <w:r>
        <w:rPr>
          <w:rFonts w:hint="eastAsia"/>
        </w:rPr>
        <w:t>邮编：</w:t>
      </w:r>
    </w:p>
    <w:p w14:paraId="5AD40851">
      <w:pPr>
        <w:pStyle w:val="15"/>
        <w:spacing w:before="156" w:after="156"/>
        <w:ind w:firstLine="480"/>
      </w:pPr>
      <w:r>
        <w:rPr>
          <w:rFonts w:hint="eastAsia"/>
        </w:rPr>
        <w:t>联系人：</w:t>
      </w:r>
    </w:p>
    <w:p w14:paraId="232F21E9">
      <w:pPr>
        <w:pStyle w:val="15"/>
        <w:spacing w:before="156" w:after="156"/>
        <w:ind w:firstLine="480"/>
      </w:pPr>
      <w:r>
        <w:rPr>
          <w:rFonts w:hint="eastAsia"/>
        </w:rPr>
        <w:t>二、预约登记</w:t>
      </w:r>
    </w:p>
    <w:p w14:paraId="349533B6">
      <w:pPr>
        <w:pStyle w:val="15"/>
        <w:spacing w:before="156" w:after="156"/>
        <w:ind w:firstLine="480"/>
      </w:pPr>
      <w:r>
        <w:rPr>
          <w:rFonts w:hint="eastAsia"/>
        </w:rPr>
        <w:t>预约：您可通过以上电话、传真、邮件等方式进行预约。</w:t>
      </w:r>
    </w:p>
    <w:p w14:paraId="2EB37352">
      <w:pPr>
        <w:pStyle w:val="15"/>
        <w:spacing w:before="156" w:after="156"/>
        <w:ind w:firstLine="480"/>
      </w:pPr>
      <w:r>
        <w:rPr>
          <w:rFonts w:hint="eastAsia"/>
        </w:rPr>
        <w:t>初步安排：公司在同意接待后，我们将与您协商并确认接待日程。</w:t>
      </w:r>
    </w:p>
    <w:p w14:paraId="39A71B39">
      <w:pPr>
        <w:pStyle w:val="15"/>
        <w:spacing w:before="156" w:after="156"/>
        <w:ind w:firstLine="480"/>
      </w:pPr>
      <w:r>
        <w:rPr>
          <w:rFonts w:hint="eastAsia"/>
        </w:rPr>
        <w:t>采访前需填写《投资者来访接待预约登记表》和《承诺书》，并请以电子邮件</w:t>
      </w:r>
      <w:r>
        <w:rPr>
          <w:rFonts w:hint="eastAsia"/>
          <w:lang w:eastAsia="zh-CN"/>
        </w:rPr>
        <w:t>或者</w:t>
      </w:r>
      <w:r>
        <w:rPr>
          <w:rFonts w:hint="eastAsia"/>
        </w:rPr>
        <w:t>传真方式发给证券事务部。当您前往公司调研时请携带好您的身份证明及《承诺书》的原件。</w:t>
      </w:r>
    </w:p>
    <w:p w14:paraId="6CC844DE">
      <w:pPr>
        <w:rPr>
          <w:rFonts w:hint="eastAsia"/>
          <w:b/>
        </w:rPr>
      </w:pPr>
      <w:r>
        <w:rPr>
          <w:rFonts w:hint="eastAsia"/>
          <w:b/>
        </w:rPr>
        <w:br w:type="page"/>
      </w:r>
    </w:p>
    <w:p w14:paraId="2ACA2A78">
      <w:pPr>
        <w:pStyle w:val="15"/>
        <w:spacing w:before="156" w:after="156"/>
        <w:ind w:firstLine="482"/>
        <w:rPr>
          <w:b/>
        </w:rPr>
      </w:pPr>
      <w:r>
        <w:rPr>
          <w:rFonts w:hint="eastAsia"/>
          <w:b/>
        </w:rPr>
        <w:t>附件2</w:t>
      </w:r>
    </w:p>
    <w:tbl>
      <w:tblPr>
        <w:tblStyle w:val="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1418"/>
        <w:gridCol w:w="1133"/>
        <w:gridCol w:w="1196"/>
        <w:gridCol w:w="1074"/>
        <w:gridCol w:w="1892"/>
      </w:tblGrid>
      <w:tr w14:paraId="62D2B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tcPr>
          <w:p w14:paraId="71272CF2">
            <w:pPr>
              <w:pStyle w:val="15"/>
              <w:spacing w:before="156" w:after="156"/>
              <w:ind w:firstLine="0" w:firstLineChars="0"/>
              <w:jc w:val="center"/>
              <w:rPr>
                <w:b/>
              </w:rPr>
            </w:pPr>
            <w:r>
              <w:rPr>
                <w:rFonts w:hint="eastAsia"/>
                <w:b/>
              </w:rPr>
              <w:t>广东凌霄泵业股份有限公司现场接待预约登记表</w:t>
            </w:r>
          </w:p>
        </w:tc>
      </w:tr>
      <w:tr w14:paraId="40BE1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vMerge w:val="restart"/>
          </w:tcPr>
          <w:p w14:paraId="10E2FF92">
            <w:pPr>
              <w:pStyle w:val="15"/>
              <w:spacing w:before="156" w:after="156"/>
              <w:ind w:firstLine="0" w:firstLineChars="0"/>
            </w:pPr>
            <w:r>
              <w:rPr>
                <w:rFonts w:hint="eastAsia"/>
              </w:rPr>
              <w:t>来访人</w:t>
            </w:r>
            <w:r>
              <w:rPr>
                <w:rFonts w:hint="eastAsia"/>
                <w:lang w:eastAsia="zh-CN"/>
              </w:rPr>
              <w:t>或者</w:t>
            </w:r>
            <w:r>
              <w:rPr>
                <w:rFonts w:hint="eastAsia"/>
              </w:rPr>
              <w:t>代表基本信息</w:t>
            </w:r>
          </w:p>
        </w:tc>
        <w:tc>
          <w:tcPr>
            <w:tcW w:w="1418" w:type="dxa"/>
          </w:tcPr>
          <w:p w14:paraId="39BE7439">
            <w:r>
              <w:rPr>
                <w:rFonts w:hint="eastAsia"/>
              </w:rPr>
              <w:t>姓名</w:t>
            </w:r>
          </w:p>
        </w:tc>
        <w:tc>
          <w:tcPr>
            <w:tcW w:w="1133" w:type="dxa"/>
          </w:tcPr>
          <w:p w14:paraId="1F40AB3B">
            <w:r>
              <w:rPr>
                <w:rFonts w:hint="eastAsia"/>
              </w:rPr>
              <w:t>职务</w:t>
            </w:r>
          </w:p>
        </w:tc>
        <w:tc>
          <w:tcPr>
            <w:tcW w:w="1196" w:type="dxa"/>
          </w:tcPr>
          <w:p w14:paraId="78E3AC9E">
            <w:r>
              <w:rPr>
                <w:rFonts w:hint="eastAsia"/>
              </w:rPr>
              <w:t>电话</w:t>
            </w:r>
          </w:p>
        </w:tc>
        <w:tc>
          <w:tcPr>
            <w:tcW w:w="1074" w:type="dxa"/>
          </w:tcPr>
          <w:p w14:paraId="26E04C18">
            <w:r>
              <w:rPr>
                <w:rFonts w:hint="eastAsia"/>
              </w:rPr>
              <w:t>邮箱</w:t>
            </w:r>
          </w:p>
        </w:tc>
        <w:tc>
          <w:tcPr>
            <w:tcW w:w="1892" w:type="dxa"/>
          </w:tcPr>
          <w:p w14:paraId="2D620D61">
            <w:r>
              <w:rPr>
                <w:rFonts w:hint="eastAsia"/>
              </w:rPr>
              <w:t>身份证号码</w:t>
            </w:r>
          </w:p>
        </w:tc>
      </w:tr>
      <w:tr w14:paraId="19B5E6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vMerge w:val="continue"/>
          </w:tcPr>
          <w:p w14:paraId="0C92ABAA">
            <w:pPr>
              <w:pStyle w:val="15"/>
              <w:spacing w:before="156" w:after="156"/>
              <w:ind w:firstLine="0" w:firstLineChars="0"/>
            </w:pPr>
          </w:p>
        </w:tc>
        <w:tc>
          <w:tcPr>
            <w:tcW w:w="1418" w:type="dxa"/>
          </w:tcPr>
          <w:p w14:paraId="359DD2DA">
            <w:pPr>
              <w:pStyle w:val="15"/>
              <w:spacing w:before="156" w:after="156"/>
              <w:ind w:firstLine="0" w:firstLineChars="0"/>
            </w:pPr>
          </w:p>
        </w:tc>
        <w:tc>
          <w:tcPr>
            <w:tcW w:w="1133" w:type="dxa"/>
          </w:tcPr>
          <w:p w14:paraId="3FC1C698">
            <w:pPr>
              <w:pStyle w:val="15"/>
              <w:spacing w:before="156" w:after="156"/>
              <w:ind w:firstLine="0" w:firstLineChars="0"/>
            </w:pPr>
          </w:p>
        </w:tc>
        <w:tc>
          <w:tcPr>
            <w:tcW w:w="1196" w:type="dxa"/>
          </w:tcPr>
          <w:p w14:paraId="162F1091">
            <w:pPr>
              <w:pStyle w:val="15"/>
              <w:spacing w:before="156" w:after="156"/>
              <w:ind w:firstLine="0" w:firstLineChars="0"/>
            </w:pPr>
          </w:p>
        </w:tc>
        <w:tc>
          <w:tcPr>
            <w:tcW w:w="1074" w:type="dxa"/>
          </w:tcPr>
          <w:p w14:paraId="01B8161A">
            <w:pPr>
              <w:pStyle w:val="15"/>
              <w:spacing w:before="156" w:after="156"/>
              <w:ind w:firstLine="0" w:firstLineChars="0"/>
            </w:pPr>
          </w:p>
        </w:tc>
        <w:tc>
          <w:tcPr>
            <w:tcW w:w="1892" w:type="dxa"/>
          </w:tcPr>
          <w:p w14:paraId="3CBC0175">
            <w:pPr>
              <w:pStyle w:val="15"/>
              <w:spacing w:before="156" w:after="156"/>
              <w:ind w:firstLine="0" w:firstLineChars="0"/>
            </w:pPr>
          </w:p>
        </w:tc>
      </w:tr>
      <w:tr w14:paraId="6B41E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vMerge w:val="continue"/>
          </w:tcPr>
          <w:p w14:paraId="74E389CF">
            <w:pPr>
              <w:pStyle w:val="15"/>
              <w:spacing w:before="156" w:after="156"/>
              <w:ind w:firstLine="0" w:firstLineChars="0"/>
            </w:pPr>
          </w:p>
        </w:tc>
        <w:tc>
          <w:tcPr>
            <w:tcW w:w="1418" w:type="dxa"/>
          </w:tcPr>
          <w:p w14:paraId="2F91896E">
            <w:pPr>
              <w:pStyle w:val="15"/>
              <w:spacing w:before="156" w:after="156"/>
              <w:ind w:firstLine="0" w:firstLineChars="0"/>
            </w:pPr>
          </w:p>
        </w:tc>
        <w:tc>
          <w:tcPr>
            <w:tcW w:w="1133" w:type="dxa"/>
          </w:tcPr>
          <w:p w14:paraId="3C964182">
            <w:pPr>
              <w:pStyle w:val="15"/>
              <w:spacing w:before="156" w:after="156"/>
              <w:ind w:firstLine="0" w:firstLineChars="0"/>
            </w:pPr>
          </w:p>
        </w:tc>
        <w:tc>
          <w:tcPr>
            <w:tcW w:w="1196" w:type="dxa"/>
          </w:tcPr>
          <w:p w14:paraId="0FEFAACE">
            <w:pPr>
              <w:pStyle w:val="15"/>
              <w:spacing w:before="156" w:after="156"/>
              <w:ind w:firstLine="0" w:firstLineChars="0"/>
            </w:pPr>
          </w:p>
        </w:tc>
        <w:tc>
          <w:tcPr>
            <w:tcW w:w="1074" w:type="dxa"/>
          </w:tcPr>
          <w:p w14:paraId="6D12E49A">
            <w:pPr>
              <w:pStyle w:val="15"/>
              <w:spacing w:before="156" w:after="156"/>
              <w:ind w:firstLine="0" w:firstLineChars="0"/>
            </w:pPr>
          </w:p>
        </w:tc>
        <w:tc>
          <w:tcPr>
            <w:tcW w:w="1892" w:type="dxa"/>
          </w:tcPr>
          <w:p w14:paraId="09DA7CB2">
            <w:pPr>
              <w:pStyle w:val="15"/>
              <w:spacing w:before="156" w:after="156"/>
              <w:ind w:firstLine="0" w:firstLineChars="0"/>
            </w:pPr>
          </w:p>
        </w:tc>
      </w:tr>
      <w:tr w14:paraId="5E19C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6DC3ED47">
            <w:pPr>
              <w:pStyle w:val="15"/>
              <w:spacing w:before="156" w:after="156"/>
              <w:ind w:firstLine="0" w:firstLineChars="0"/>
            </w:pPr>
            <w:r>
              <w:rPr>
                <w:rFonts w:hint="eastAsia"/>
              </w:rPr>
              <w:t>来访单位</w:t>
            </w:r>
          </w:p>
        </w:tc>
        <w:tc>
          <w:tcPr>
            <w:tcW w:w="6713" w:type="dxa"/>
            <w:gridSpan w:val="5"/>
          </w:tcPr>
          <w:p w14:paraId="1484A129">
            <w:pPr>
              <w:pStyle w:val="15"/>
              <w:spacing w:before="156" w:after="156"/>
              <w:ind w:firstLine="0" w:firstLineChars="0"/>
            </w:pPr>
          </w:p>
        </w:tc>
      </w:tr>
      <w:tr w14:paraId="655F8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31463454">
            <w:pPr>
              <w:pStyle w:val="15"/>
              <w:spacing w:before="156" w:after="156"/>
              <w:ind w:firstLine="0" w:firstLineChars="0"/>
            </w:pPr>
            <w:r>
              <w:rPr>
                <w:rFonts w:hint="eastAsia"/>
              </w:rPr>
              <w:t>来访人员类型</w:t>
            </w:r>
          </w:p>
        </w:tc>
        <w:tc>
          <w:tcPr>
            <w:tcW w:w="6713" w:type="dxa"/>
            <w:gridSpan w:val="5"/>
          </w:tcPr>
          <w:p w14:paraId="1E3D8F17">
            <w:pPr>
              <w:pStyle w:val="15"/>
              <w:spacing w:before="156" w:after="156"/>
              <w:ind w:firstLine="0" w:firstLineChars="0"/>
              <w:jc w:val="left"/>
            </w:pPr>
            <w:r>
              <w:rPr>
                <w:rFonts w:hint="eastAsia"/>
              </w:rPr>
              <w:t>□投资者   □证券机构</w:t>
            </w:r>
          </w:p>
          <w:p w14:paraId="1AC3B86B">
            <w:pPr>
              <w:pStyle w:val="15"/>
              <w:spacing w:before="156" w:after="156"/>
              <w:ind w:firstLine="0" w:firstLineChars="0"/>
              <w:jc w:val="left"/>
            </w:pPr>
            <w:r>
              <w:rPr>
                <w:rFonts w:hint="eastAsia"/>
              </w:rPr>
              <w:t>□媒体     □其他</w:t>
            </w:r>
          </w:p>
        </w:tc>
      </w:tr>
      <w:tr w14:paraId="441178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7B87BDBD">
            <w:pPr>
              <w:pStyle w:val="15"/>
              <w:spacing w:before="156" w:after="156"/>
              <w:ind w:firstLine="0" w:firstLineChars="0"/>
            </w:pPr>
            <w:r>
              <w:rPr>
                <w:rFonts w:hint="eastAsia"/>
              </w:rPr>
              <w:t>来访人数</w:t>
            </w:r>
          </w:p>
        </w:tc>
        <w:tc>
          <w:tcPr>
            <w:tcW w:w="6713" w:type="dxa"/>
            <w:gridSpan w:val="5"/>
          </w:tcPr>
          <w:p w14:paraId="003873F6">
            <w:pPr>
              <w:pStyle w:val="15"/>
              <w:spacing w:before="156" w:after="156"/>
              <w:ind w:firstLine="0" w:firstLineChars="0"/>
              <w:jc w:val="left"/>
            </w:pPr>
          </w:p>
        </w:tc>
      </w:tr>
      <w:tr w14:paraId="4DCD1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69772150">
            <w:pPr>
              <w:pStyle w:val="15"/>
              <w:spacing w:before="156" w:after="156"/>
              <w:ind w:firstLine="0" w:firstLineChars="0"/>
            </w:pPr>
            <w:r>
              <w:rPr>
                <w:rFonts w:hint="eastAsia"/>
              </w:rPr>
              <w:t>希望陪同人员</w:t>
            </w:r>
          </w:p>
        </w:tc>
        <w:tc>
          <w:tcPr>
            <w:tcW w:w="6713" w:type="dxa"/>
            <w:gridSpan w:val="5"/>
          </w:tcPr>
          <w:p w14:paraId="45603360">
            <w:pPr>
              <w:pStyle w:val="15"/>
              <w:spacing w:before="156" w:after="156"/>
              <w:ind w:firstLine="0" w:firstLineChars="0"/>
            </w:pPr>
          </w:p>
        </w:tc>
      </w:tr>
      <w:tr w14:paraId="4B877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Pr>
          <w:p w14:paraId="3127A89A">
            <w:pPr>
              <w:pStyle w:val="15"/>
              <w:spacing w:before="156" w:after="156"/>
              <w:ind w:firstLine="0" w:firstLineChars="0"/>
            </w:pPr>
            <w:r>
              <w:rPr>
                <w:rFonts w:hint="eastAsia"/>
              </w:rPr>
              <w:t>访谈时间</w:t>
            </w:r>
          </w:p>
        </w:tc>
        <w:tc>
          <w:tcPr>
            <w:tcW w:w="6713" w:type="dxa"/>
            <w:gridSpan w:val="5"/>
          </w:tcPr>
          <w:p w14:paraId="0BBB1941">
            <w:pPr>
              <w:pStyle w:val="15"/>
              <w:spacing w:before="156" w:after="156"/>
              <w:ind w:firstLine="0" w:firstLineChars="0"/>
            </w:pPr>
          </w:p>
        </w:tc>
      </w:tr>
      <w:tr w14:paraId="69F49F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5" w:hRule="atLeast"/>
        </w:trPr>
        <w:tc>
          <w:tcPr>
            <w:tcW w:w="8522" w:type="dxa"/>
            <w:gridSpan w:val="6"/>
          </w:tcPr>
          <w:p w14:paraId="1D5D5E74">
            <w:pPr>
              <w:pStyle w:val="15"/>
              <w:spacing w:before="156" w:after="156"/>
              <w:ind w:firstLine="0" w:firstLineChars="0"/>
            </w:pPr>
            <w:r>
              <w:rPr>
                <w:rFonts w:hint="eastAsia"/>
              </w:rPr>
              <w:t>关注的问题：</w:t>
            </w:r>
          </w:p>
        </w:tc>
      </w:tr>
      <w:tr w14:paraId="18596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tcPr>
          <w:p w14:paraId="0BE26CAF">
            <w:pPr>
              <w:pStyle w:val="15"/>
              <w:spacing w:before="156" w:after="156"/>
              <w:ind w:firstLine="0" w:firstLineChars="0"/>
            </w:pPr>
            <w:r>
              <w:rPr>
                <w:rFonts w:hint="eastAsia"/>
              </w:rPr>
              <w:t>证券事务部人员确认：</w:t>
            </w:r>
          </w:p>
          <w:p w14:paraId="271B7CB7">
            <w:pPr>
              <w:pStyle w:val="15"/>
              <w:spacing w:before="156" w:after="156"/>
              <w:ind w:firstLine="0" w:firstLineChars="0"/>
            </w:pPr>
            <w:r>
              <w:rPr>
                <w:rFonts w:hint="eastAsia"/>
              </w:rPr>
              <w:t>董事会秘书意见：</w:t>
            </w:r>
          </w:p>
        </w:tc>
      </w:tr>
    </w:tbl>
    <w:p w14:paraId="64C11B14">
      <w:r>
        <w:br w:type="page"/>
      </w:r>
    </w:p>
    <w:p w14:paraId="1410D548">
      <w:pPr>
        <w:pStyle w:val="15"/>
        <w:spacing w:before="156" w:after="156" w:line="240" w:lineRule="auto"/>
        <w:ind w:firstLine="482"/>
        <w:rPr>
          <w:b/>
        </w:rPr>
      </w:pPr>
      <w:r>
        <w:rPr>
          <w:rFonts w:hint="eastAsia"/>
          <w:b/>
        </w:rPr>
        <w:t>附件3</w:t>
      </w:r>
    </w:p>
    <w:p w14:paraId="229226B8">
      <w:pPr>
        <w:pStyle w:val="15"/>
        <w:spacing w:before="156" w:after="156" w:line="240" w:lineRule="auto"/>
        <w:ind w:firstLine="482"/>
        <w:jc w:val="center"/>
        <w:rPr>
          <w:b/>
        </w:rPr>
      </w:pPr>
      <w:r>
        <w:rPr>
          <w:rFonts w:hint="eastAsia"/>
          <w:b/>
        </w:rPr>
        <w:t>承诺书</w:t>
      </w:r>
    </w:p>
    <w:p w14:paraId="534FB363">
      <w:pPr>
        <w:pStyle w:val="15"/>
        <w:spacing w:before="156" w:after="156" w:line="240" w:lineRule="auto"/>
        <w:ind w:firstLine="480"/>
      </w:pPr>
      <w:r>
        <w:rPr>
          <w:rFonts w:hint="eastAsia"/>
        </w:rPr>
        <w:t>广东凌霄泵业股份有限公司：</w:t>
      </w:r>
    </w:p>
    <w:p w14:paraId="22A24598">
      <w:pPr>
        <w:pStyle w:val="15"/>
        <w:spacing w:before="156" w:after="156" w:line="240" w:lineRule="auto"/>
        <w:ind w:firstLine="480"/>
      </w:pPr>
      <w:r>
        <w:rPr>
          <w:rFonts w:hint="eastAsia"/>
        </w:rPr>
        <w:t>本人（公司）将对你公司进行调研（</w:t>
      </w:r>
      <w:r>
        <w:rPr>
          <w:rFonts w:hint="eastAsia"/>
          <w:lang w:eastAsia="zh-CN"/>
        </w:rPr>
        <w:t>或者</w:t>
      </w:r>
      <w:r>
        <w:rPr>
          <w:rFonts w:hint="eastAsia"/>
        </w:rPr>
        <w:t>参观、采访、座谈等），根据有关规定做出如下承诺：</w:t>
      </w:r>
    </w:p>
    <w:p w14:paraId="78ACECA5">
      <w:pPr>
        <w:pStyle w:val="15"/>
        <w:spacing w:before="156" w:after="156" w:line="240" w:lineRule="auto"/>
        <w:ind w:firstLine="480"/>
      </w:pPr>
      <w:r>
        <w:rPr>
          <w:rFonts w:hint="eastAsia"/>
        </w:rPr>
        <w:t>（一）本人（公司）承诺在调研（</w:t>
      </w:r>
      <w:r>
        <w:rPr>
          <w:rFonts w:hint="eastAsia"/>
          <w:lang w:eastAsia="zh-CN"/>
        </w:rPr>
        <w:t>或者</w:t>
      </w:r>
      <w:r>
        <w:rPr>
          <w:rFonts w:hint="eastAsia"/>
        </w:rPr>
        <w:t>参观、采访、座谈等）过程中不故意打探你公司未公开重大信息，未经你公司许可，不与你公司指定人员以外的人员进行沟通</w:t>
      </w:r>
      <w:r>
        <w:rPr>
          <w:rFonts w:hint="eastAsia"/>
          <w:lang w:eastAsia="zh-CN"/>
        </w:rPr>
        <w:t>或者</w:t>
      </w:r>
      <w:r>
        <w:rPr>
          <w:rFonts w:hint="eastAsia"/>
        </w:rPr>
        <w:t>问询；</w:t>
      </w:r>
    </w:p>
    <w:p w14:paraId="5199A563">
      <w:pPr>
        <w:pStyle w:val="15"/>
        <w:spacing w:before="156" w:after="156" w:line="240" w:lineRule="auto"/>
        <w:ind w:firstLine="480"/>
      </w:pPr>
      <w:r>
        <w:rPr>
          <w:rFonts w:hint="eastAsia"/>
        </w:rPr>
        <w:t>（二）本人（公司）承诺不泄</w:t>
      </w:r>
      <w:r>
        <w:rPr>
          <w:rFonts w:hint="eastAsia"/>
          <w:lang w:val="en-US" w:eastAsia="zh-CN"/>
        </w:rPr>
        <w:t>露</w:t>
      </w:r>
      <w:r>
        <w:rPr>
          <w:rFonts w:hint="eastAsia"/>
        </w:rPr>
        <w:t>在调研（</w:t>
      </w:r>
      <w:r>
        <w:rPr>
          <w:rFonts w:hint="eastAsia"/>
          <w:lang w:eastAsia="zh-CN"/>
        </w:rPr>
        <w:t>或者</w:t>
      </w:r>
      <w:r>
        <w:rPr>
          <w:rFonts w:hint="eastAsia"/>
        </w:rPr>
        <w:t>参观、采访、座谈等）过程中无意中获取的你公司未公开重大信息，不利用所获取的未公开重大信息买卖你公司证券</w:t>
      </w:r>
      <w:r>
        <w:rPr>
          <w:rFonts w:hint="eastAsia"/>
          <w:lang w:eastAsia="zh-CN"/>
        </w:rPr>
        <w:t>或者</w:t>
      </w:r>
      <w:r>
        <w:rPr>
          <w:rFonts w:hint="eastAsia"/>
        </w:rPr>
        <w:t>建议他人买卖你公司证券；</w:t>
      </w:r>
    </w:p>
    <w:p w14:paraId="076B5D41">
      <w:pPr>
        <w:pStyle w:val="15"/>
        <w:spacing w:before="156" w:after="156" w:line="240" w:lineRule="auto"/>
        <w:ind w:firstLine="480"/>
      </w:pPr>
      <w:r>
        <w:rPr>
          <w:rFonts w:hint="eastAsia"/>
        </w:rPr>
        <w:t>（三）本人（公司）承诺在投资价值分析报告、新闻稿等文件中不使用本次调研（</w:t>
      </w:r>
      <w:r>
        <w:rPr>
          <w:rFonts w:hint="eastAsia"/>
          <w:lang w:eastAsia="zh-CN"/>
        </w:rPr>
        <w:t>或者</w:t>
      </w:r>
      <w:r>
        <w:rPr>
          <w:rFonts w:hint="eastAsia"/>
        </w:rPr>
        <w:t>参观、采访、座谈等）获取的你公司未公开重大信息，除非你公司同时披露该信息；</w:t>
      </w:r>
    </w:p>
    <w:p w14:paraId="5CF5DC00">
      <w:pPr>
        <w:pStyle w:val="15"/>
        <w:spacing w:before="156" w:after="156" w:line="240" w:lineRule="auto"/>
        <w:ind w:firstLine="480"/>
      </w:pPr>
      <w:r>
        <w:rPr>
          <w:rFonts w:hint="eastAsia"/>
        </w:rPr>
        <w:t>（四）本人（公司）承诺基于本次调研（</w:t>
      </w:r>
      <w:r>
        <w:rPr>
          <w:rFonts w:hint="eastAsia"/>
          <w:lang w:eastAsia="zh-CN"/>
        </w:rPr>
        <w:t>或者</w:t>
      </w:r>
      <w:r>
        <w:rPr>
          <w:rFonts w:hint="eastAsia"/>
        </w:rPr>
        <w:t>参观、采访、座谈等）形成的投资价值分析报告、新闻稿等文件中涉及盈利预测和股价预测的，注明资料来源，不使用缺乏事实根据的资料；</w:t>
      </w:r>
    </w:p>
    <w:p w14:paraId="444E52E1">
      <w:pPr>
        <w:pStyle w:val="15"/>
        <w:spacing w:before="156" w:after="156" w:line="240" w:lineRule="auto"/>
        <w:ind w:firstLine="480"/>
      </w:pPr>
      <w:r>
        <w:rPr>
          <w:rFonts w:hint="eastAsia"/>
        </w:rPr>
        <w:t>（五）本人（公司）承诺基于本次调研（</w:t>
      </w:r>
      <w:r>
        <w:rPr>
          <w:rFonts w:hint="eastAsia"/>
          <w:lang w:eastAsia="zh-CN"/>
        </w:rPr>
        <w:t>或者</w:t>
      </w:r>
      <w:r>
        <w:rPr>
          <w:rFonts w:hint="eastAsia"/>
        </w:rPr>
        <w:t>参观、采访、座谈等）形成的投资价值分析报告、新闻稿等文件（</w:t>
      </w:r>
      <w:r>
        <w:rPr>
          <w:rFonts w:hint="eastAsia"/>
          <w:lang w:eastAsia="zh-CN"/>
        </w:rPr>
        <w:t>或者</w:t>
      </w:r>
      <w:r>
        <w:rPr>
          <w:rFonts w:hint="eastAsia"/>
        </w:rPr>
        <w:t>涉及基础性信息的部分内容），在对外发布</w:t>
      </w:r>
      <w:r>
        <w:rPr>
          <w:rFonts w:hint="eastAsia"/>
          <w:lang w:eastAsia="zh-CN"/>
        </w:rPr>
        <w:t>或者</w:t>
      </w:r>
      <w:r>
        <w:rPr>
          <w:rFonts w:hint="eastAsia"/>
        </w:rPr>
        <w:t>使用至少两个工作日前知会你公司；</w:t>
      </w:r>
    </w:p>
    <w:p w14:paraId="33838BCE">
      <w:pPr>
        <w:pStyle w:val="15"/>
        <w:spacing w:before="156" w:after="156" w:line="240" w:lineRule="auto"/>
        <w:ind w:firstLine="480"/>
      </w:pPr>
      <w:r>
        <w:rPr>
          <w:rFonts w:hint="eastAsia"/>
        </w:rPr>
        <w:t>（六）本人（公司）如违反上述承诺，愿意承担由此引起的一切法律责任；</w:t>
      </w:r>
    </w:p>
    <w:p w14:paraId="7F0234F0">
      <w:pPr>
        <w:pStyle w:val="15"/>
        <w:spacing w:before="156" w:after="156" w:line="240" w:lineRule="auto"/>
        <w:ind w:firstLine="480"/>
      </w:pPr>
      <w:r>
        <w:rPr>
          <w:rFonts w:hint="eastAsia"/>
        </w:rPr>
        <w:t>（七）本承诺书仅限于本人（公司）对你公司调研（</w:t>
      </w:r>
      <w:r>
        <w:rPr>
          <w:rFonts w:hint="eastAsia"/>
          <w:lang w:eastAsia="zh-CN"/>
        </w:rPr>
        <w:t>或者</w:t>
      </w:r>
      <w:r>
        <w:rPr>
          <w:rFonts w:hint="eastAsia"/>
        </w:rPr>
        <w:t>参观、采访、座谈等）活动，时间为：</w:t>
      </w:r>
      <w:r>
        <w:rPr>
          <w:rFonts w:hint="eastAsia"/>
          <w:u w:val="single"/>
        </w:rPr>
        <w:t xml:space="preserve">                      </w:t>
      </w:r>
      <w:r>
        <w:rPr>
          <w:rFonts w:hint="eastAsia"/>
        </w:rPr>
        <w:t>。</w:t>
      </w:r>
    </w:p>
    <w:p w14:paraId="55776C3D">
      <w:pPr>
        <w:pStyle w:val="15"/>
        <w:spacing w:before="156" w:after="156" w:line="240" w:lineRule="auto"/>
        <w:ind w:firstLine="480"/>
      </w:pPr>
      <w:r>
        <w:rPr>
          <w:rFonts w:hint="eastAsia"/>
        </w:rPr>
        <w:t>（八）本承诺书的有效期为  年  月  日至  年  月  日。经本公司（</w:t>
      </w:r>
      <w:r>
        <w:rPr>
          <w:rFonts w:hint="eastAsia"/>
          <w:lang w:eastAsia="zh-CN"/>
        </w:rPr>
        <w:t>或者</w:t>
      </w:r>
      <w:r>
        <w:rPr>
          <w:rFonts w:hint="eastAsia"/>
        </w:rPr>
        <w:t>研究机构）书面授权的个人在本承诺书有效期内到你公司现场调研（</w:t>
      </w:r>
      <w:r>
        <w:rPr>
          <w:rFonts w:hint="eastAsia"/>
          <w:lang w:eastAsia="zh-CN"/>
        </w:rPr>
        <w:t>或者</w:t>
      </w:r>
      <w:r>
        <w:rPr>
          <w:rFonts w:hint="eastAsia"/>
        </w:rPr>
        <w:t>参观、采访、座谈等），视同本公司行为。（此条仅适用于以公司</w:t>
      </w:r>
      <w:r>
        <w:rPr>
          <w:rFonts w:hint="eastAsia"/>
          <w:lang w:eastAsia="zh-CN"/>
        </w:rPr>
        <w:t>或者</w:t>
      </w:r>
      <w:r>
        <w:rPr>
          <w:rFonts w:hint="eastAsia"/>
        </w:rPr>
        <w:t>研究机构名义签署的承诺书）</w:t>
      </w:r>
    </w:p>
    <w:p w14:paraId="20A37521">
      <w:pPr>
        <w:pStyle w:val="15"/>
        <w:spacing w:before="156" w:after="156" w:line="240" w:lineRule="auto"/>
        <w:ind w:firstLine="480"/>
      </w:pPr>
    </w:p>
    <w:p w14:paraId="18CAE541">
      <w:pPr>
        <w:pStyle w:val="15"/>
        <w:spacing w:before="156" w:after="156" w:line="240" w:lineRule="auto"/>
        <w:ind w:firstLine="480"/>
        <w:jc w:val="center"/>
      </w:pPr>
      <w:r>
        <w:rPr>
          <w:rFonts w:hint="eastAsia"/>
        </w:rPr>
        <w:t xml:space="preserve">             承诺人（公司）（签章）：</w:t>
      </w:r>
    </w:p>
    <w:p w14:paraId="7093D15F">
      <w:pPr>
        <w:pStyle w:val="15"/>
        <w:spacing w:before="156" w:after="156" w:line="240" w:lineRule="auto"/>
        <w:ind w:firstLine="480"/>
        <w:jc w:val="center"/>
      </w:pPr>
      <w:r>
        <w:rPr>
          <w:rFonts w:hint="eastAsia"/>
        </w:rPr>
        <w:t xml:space="preserve">               （授权代表）(签章)：</w:t>
      </w:r>
    </w:p>
    <w:p w14:paraId="10167B9E">
      <w:pPr>
        <w:pStyle w:val="15"/>
        <w:spacing w:before="156" w:after="156" w:line="240" w:lineRule="auto"/>
        <w:ind w:firstLine="480"/>
        <w:jc w:val="center"/>
      </w:pPr>
      <w:r>
        <w:rPr>
          <w:rFonts w:hint="eastAsia"/>
        </w:rPr>
        <w:t xml:space="preserve">                            日期：</w:t>
      </w:r>
    </w:p>
    <w:p w14:paraId="1A2C0DB1">
      <w:r>
        <w:br w:type="page"/>
      </w:r>
    </w:p>
    <w:p w14:paraId="3050B77D">
      <w:pPr>
        <w:pStyle w:val="15"/>
        <w:spacing w:before="156" w:after="156"/>
        <w:ind w:firstLine="482"/>
        <w:rPr>
          <w:b/>
        </w:rPr>
      </w:pPr>
      <w:r>
        <w:rPr>
          <w:rFonts w:hint="eastAsia"/>
          <w:b/>
        </w:rPr>
        <w:t>附件4</w:t>
      </w:r>
    </w:p>
    <w:p w14:paraId="60B1FEFA">
      <w:pPr>
        <w:pStyle w:val="15"/>
        <w:spacing w:before="156" w:after="156"/>
        <w:ind w:firstLine="562"/>
        <w:jc w:val="center"/>
        <w:rPr>
          <w:b/>
          <w:sz w:val="28"/>
          <w:szCs w:val="28"/>
        </w:rPr>
      </w:pPr>
      <w:r>
        <w:rPr>
          <w:rFonts w:hint="eastAsia"/>
          <w:b/>
          <w:sz w:val="28"/>
          <w:szCs w:val="28"/>
        </w:rPr>
        <w:t>投资者关系活动记录表</w:t>
      </w:r>
    </w:p>
    <w:p w14:paraId="3ED248EA">
      <w:pPr>
        <w:pStyle w:val="15"/>
        <w:spacing w:before="156" w:after="156"/>
        <w:ind w:firstLine="482"/>
        <w:jc w:val="center"/>
        <w:rPr>
          <w:b/>
        </w:rPr>
      </w:pPr>
      <w:r>
        <w:rPr>
          <w:rFonts w:hint="eastAsia"/>
          <w:b/>
        </w:rPr>
        <w:t>证券代码：002884                 证券简称：凌霄泵业</w:t>
      </w:r>
    </w:p>
    <w:p w14:paraId="3EBA44C0">
      <w:pPr>
        <w:pStyle w:val="15"/>
        <w:spacing w:before="156" w:after="156"/>
        <w:ind w:firstLine="482"/>
        <w:jc w:val="center"/>
        <w:rPr>
          <w:b/>
        </w:rPr>
      </w:pPr>
      <w:r>
        <w:rPr>
          <w:rFonts w:hint="eastAsia"/>
          <w:b/>
        </w:rPr>
        <w:t>广东凌霄泵业股份有限公司投资者关系活动记录表</w:t>
      </w:r>
    </w:p>
    <w:p w14:paraId="4DFB49C1">
      <w:pPr>
        <w:pStyle w:val="15"/>
        <w:spacing w:before="156" w:after="156"/>
        <w:ind w:firstLine="480"/>
        <w:jc w:val="right"/>
      </w:pPr>
      <w:r>
        <w:rPr>
          <w:rFonts w:hint="eastAsia"/>
        </w:rPr>
        <w:t>编号：</w:t>
      </w:r>
    </w:p>
    <w:tbl>
      <w:tblPr>
        <w:tblStyle w:val="8"/>
        <w:tblW w:w="8522" w:type="dxa"/>
        <w:jc w:val="righ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94"/>
        <w:gridCol w:w="6128"/>
      </w:tblGrid>
      <w:tr w14:paraId="1E2CA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6" w:hRule="atLeast"/>
          <w:jc w:val="right"/>
        </w:trPr>
        <w:tc>
          <w:tcPr>
            <w:tcW w:w="2394" w:type="dxa"/>
            <w:vAlign w:val="center"/>
          </w:tcPr>
          <w:p w14:paraId="69D8550A">
            <w:pPr>
              <w:pStyle w:val="15"/>
              <w:spacing w:beforeLines="0" w:afterLines="0" w:line="240" w:lineRule="auto"/>
              <w:ind w:firstLine="482"/>
              <w:jc w:val="center"/>
              <w:rPr>
                <w:b/>
              </w:rPr>
            </w:pPr>
            <w:r>
              <w:rPr>
                <w:rFonts w:hint="eastAsia"/>
                <w:b/>
              </w:rPr>
              <w:t>投资者关系活动类别</w:t>
            </w:r>
          </w:p>
        </w:tc>
        <w:tc>
          <w:tcPr>
            <w:tcW w:w="6128" w:type="dxa"/>
            <w:vAlign w:val="center"/>
          </w:tcPr>
          <w:p w14:paraId="4396D59A">
            <w:pPr>
              <w:pStyle w:val="15"/>
              <w:spacing w:beforeLines="0" w:afterLines="0" w:line="240" w:lineRule="auto"/>
              <w:ind w:firstLine="0" w:firstLineChars="0"/>
              <w:jc w:val="left"/>
            </w:pPr>
            <w:r>
              <w:rPr>
                <w:rFonts w:hint="eastAsia"/>
              </w:rPr>
              <w:t>□特定对象调研   □分析师会议</w:t>
            </w:r>
          </w:p>
          <w:p w14:paraId="1488A72A">
            <w:pPr>
              <w:pStyle w:val="15"/>
              <w:spacing w:beforeLines="0" w:afterLines="0" w:line="240" w:lineRule="auto"/>
              <w:ind w:firstLine="0" w:firstLineChars="0"/>
              <w:jc w:val="left"/>
            </w:pPr>
            <w:r>
              <w:rPr>
                <w:rFonts w:hint="eastAsia"/>
              </w:rPr>
              <w:t>□媒体采访       □业绩说明会</w:t>
            </w:r>
          </w:p>
          <w:p w14:paraId="11BBCE0A">
            <w:pPr>
              <w:pStyle w:val="15"/>
              <w:spacing w:beforeLines="0" w:afterLines="0" w:line="240" w:lineRule="auto"/>
              <w:ind w:firstLine="0" w:firstLineChars="0"/>
              <w:jc w:val="left"/>
            </w:pPr>
            <w:r>
              <w:rPr>
                <w:rFonts w:hint="eastAsia"/>
              </w:rPr>
              <w:t>□新闻发布会     □路演活动</w:t>
            </w:r>
          </w:p>
          <w:p w14:paraId="5DEC8C8C">
            <w:pPr>
              <w:pStyle w:val="15"/>
              <w:spacing w:beforeLines="0" w:afterLines="0" w:line="240" w:lineRule="auto"/>
              <w:ind w:firstLine="0" w:firstLineChars="0"/>
              <w:jc w:val="left"/>
            </w:pPr>
            <w:r>
              <w:rPr>
                <w:rFonts w:hint="eastAsia"/>
              </w:rPr>
              <w:t>□现场参观</w:t>
            </w:r>
          </w:p>
          <w:p w14:paraId="137593D2">
            <w:pPr>
              <w:pStyle w:val="15"/>
              <w:spacing w:beforeLines="0" w:afterLines="0" w:line="240" w:lineRule="auto"/>
              <w:ind w:firstLine="0" w:firstLineChars="0"/>
              <w:jc w:val="left"/>
              <w:rPr>
                <w:u w:val="single"/>
              </w:rPr>
            </w:pPr>
            <w:r>
              <w:rPr>
                <w:rFonts w:hint="eastAsia"/>
              </w:rPr>
              <w:t>□其他（请文字说明其他活动内容）</w:t>
            </w:r>
          </w:p>
        </w:tc>
      </w:tr>
      <w:tr w14:paraId="54BD7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394" w:type="dxa"/>
            <w:vAlign w:val="center"/>
          </w:tcPr>
          <w:p w14:paraId="6B7F90D1">
            <w:pPr>
              <w:pStyle w:val="15"/>
              <w:spacing w:beforeLines="0" w:afterLines="0" w:line="240" w:lineRule="auto"/>
              <w:ind w:firstLine="482"/>
              <w:jc w:val="center"/>
              <w:rPr>
                <w:b/>
              </w:rPr>
            </w:pPr>
            <w:r>
              <w:rPr>
                <w:rFonts w:hint="eastAsia"/>
                <w:b/>
              </w:rPr>
              <w:t>参与单位名称及人员姓名</w:t>
            </w:r>
          </w:p>
        </w:tc>
        <w:tc>
          <w:tcPr>
            <w:tcW w:w="6128" w:type="dxa"/>
            <w:vAlign w:val="center"/>
          </w:tcPr>
          <w:p w14:paraId="2757B099">
            <w:pPr>
              <w:pStyle w:val="15"/>
              <w:spacing w:beforeLines="0" w:afterLines="0" w:line="240" w:lineRule="auto"/>
              <w:ind w:firstLine="0" w:firstLineChars="0"/>
              <w:jc w:val="center"/>
            </w:pPr>
          </w:p>
        </w:tc>
      </w:tr>
      <w:tr w14:paraId="4F85C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8" w:hRule="atLeast"/>
          <w:jc w:val="right"/>
        </w:trPr>
        <w:tc>
          <w:tcPr>
            <w:tcW w:w="2394" w:type="dxa"/>
            <w:vAlign w:val="center"/>
          </w:tcPr>
          <w:p w14:paraId="1BA2EAB6">
            <w:pPr>
              <w:pStyle w:val="15"/>
              <w:spacing w:beforeLines="0" w:afterLines="0" w:line="240" w:lineRule="auto"/>
              <w:ind w:firstLine="0" w:firstLineChars="0"/>
              <w:jc w:val="center"/>
              <w:rPr>
                <w:b/>
              </w:rPr>
            </w:pPr>
            <w:r>
              <w:rPr>
                <w:rFonts w:hint="eastAsia"/>
                <w:b/>
              </w:rPr>
              <w:t>时间</w:t>
            </w:r>
          </w:p>
        </w:tc>
        <w:tc>
          <w:tcPr>
            <w:tcW w:w="6128" w:type="dxa"/>
            <w:vAlign w:val="center"/>
          </w:tcPr>
          <w:p w14:paraId="0634443B">
            <w:pPr>
              <w:pStyle w:val="15"/>
              <w:spacing w:beforeLines="0" w:afterLines="0" w:line="240" w:lineRule="auto"/>
              <w:ind w:firstLine="0" w:firstLineChars="0"/>
              <w:jc w:val="center"/>
            </w:pPr>
            <w:r>
              <w:rPr>
                <w:rFonts w:hint="eastAsia"/>
              </w:rPr>
              <w:t>年    月    日    时</w:t>
            </w:r>
          </w:p>
        </w:tc>
      </w:tr>
      <w:tr w14:paraId="538E2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9" w:hRule="atLeast"/>
          <w:jc w:val="right"/>
        </w:trPr>
        <w:tc>
          <w:tcPr>
            <w:tcW w:w="2394" w:type="dxa"/>
            <w:vAlign w:val="center"/>
          </w:tcPr>
          <w:p w14:paraId="267AA326">
            <w:pPr>
              <w:pStyle w:val="15"/>
              <w:spacing w:beforeLines="0" w:afterLines="0" w:line="240" w:lineRule="auto"/>
              <w:ind w:firstLine="0" w:firstLineChars="0"/>
              <w:jc w:val="center"/>
              <w:rPr>
                <w:b/>
              </w:rPr>
            </w:pPr>
            <w:r>
              <w:rPr>
                <w:rFonts w:hint="eastAsia"/>
                <w:b/>
              </w:rPr>
              <w:t>地点</w:t>
            </w:r>
          </w:p>
        </w:tc>
        <w:tc>
          <w:tcPr>
            <w:tcW w:w="6128" w:type="dxa"/>
            <w:vAlign w:val="center"/>
          </w:tcPr>
          <w:p w14:paraId="4E9A84E0">
            <w:pPr>
              <w:pStyle w:val="15"/>
              <w:spacing w:beforeLines="0" w:afterLines="0" w:line="240" w:lineRule="auto"/>
              <w:ind w:firstLine="0" w:firstLineChars="0"/>
              <w:jc w:val="center"/>
            </w:pPr>
            <w:r>
              <w:rPr>
                <w:rFonts w:hint="eastAsia"/>
              </w:rPr>
              <w:t>公司会议室</w:t>
            </w:r>
          </w:p>
        </w:tc>
      </w:tr>
      <w:tr w14:paraId="1C554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394" w:type="dxa"/>
            <w:vAlign w:val="center"/>
          </w:tcPr>
          <w:p w14:paraId="3FCAB012">
            <w:pPr>
              <w:pStyle w:val="15"/>
              <w:spacing w:beforeLines="0" w:afterLines="0" w:line="240" w:lineRule="auto"/>
              <w:ind w:firstLine="0" w:firstLineChars="0"/>
              <w:jc w:val="center"/>
              <w:rPr>
                <w:b/>
              </w:rPr>
            </w:pPr>
            <w:r>
              <w:rPr>
                <w:rFonts w:hint="eastAsia"/>
                <w:b/>
              </w:rPr>
              <w:t>公司接待人员姓名</w:t>
            </w:r>
          </w:p>
        </w:tc>
        <w:tc>
          <w:tcPr>
            <w:tcW w:w="6128" w:type="dxa"/>
            <w:vAlign w:val="center"/>
          </w:tcPr>
          <w:p w14:paraId="565CB281">
            <w:pPr>
              <w:jc w:val="center"/>
            </w:pPr>
          </w:p>
        </w:tc>
      </w:tr>
      <w:tr w14:paraId="74C56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4" w:hRule="atLeast"/>
          <w:jc w:val="right"/>
        </w:trPr>
        <w:tc>
          <w:tcPr>
            <w:tcW w:w="2394" w:type="dxa"/>
            <w:vAlign w:val="center"/>
          </w:tcPr>
          <w:p w14:paraId="3C6CF58C">
            <w:pPr>
              <w:pStyle w:val="15"/>
              <w:spacing w:beforeLines="0" w:afterLines="0" w:line="240" w:lineRule="auto"/>
              <w:ind w:firstLine="482"/>
              <w:jc w:val="center"/>
              <w:rPr>
                <w:b/>
              </w:rPr>
            </w:pPr>
            <w:r>
              <w:rPr>
                <w:rFonts w:hint="eastAsia"/>
                <w:b/>
              </w:rPr>
              <w:t>投资者关系活动主要内容介绍</w:t>
            </w:r>
          </w:p>
        </w:tc>
        <w:tc>
          <w:tcPr>
            <w:tcW w:w="6128" w:type="dxa"/>
            <w:vAlign w:val="center"/>
          </w:tcPr>
          <w:p w14:paraId="2D4E6BCB">
            <w:pPr>
              <w:pStyle w:val="15"/>
              <w:spacing w:beforeLines="0" w:afterLines="0" w:line="240" w:lineRule="auto"/>
              <w:ind w:firstLine="0" w:firstLineChars="0"/>
              <w:jc w:val="center"/>
            </w:pPr>
          </w:p>
        </w:tc>
      </w:tr>
      <w:tr w14:paraId="225FC3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right"/>
        </w:trPr>
        <w:tc>
          <w:tcPr>
            <w:tcW w:w="2394" w:type="dxa"/>
            <w:vAlign w:val="center"/>
          </w:tcPr>
          <w:p w14:paraId="65826A39">
            <w:pPr>
              <w:pStyle w:val="15"/>
              <w:spacing w:beforeLines="0" w:afterLines="0" w:line="240" w:lineRule="auto"/>
              <w:ind w:firstLine="482"/>
              <w:jc w:val="center"/>
              <w:rPr>
                <w:b/>
              </w:rPr>
            </w:pPr>
            <w:r>
              <w:rPr>
                <w:rFonts w:hint="eastAsia"/>
                <w:b/>
              </w:rPr>
              <w:t>附件清单（如有）</w:t>
            </w:r>
          </w:p>
        </w:tc>
        <w:tc>
          <w:tcPr>
            <w:tcW w:w="6128" w:type="dxa"/>
            <w:vAlign w:val="center"/>
          </w:tcPr>
          <w:p w14:paraId="2F8E3883">
            <w:pPr>
              <w:pStyle w:val="15"/>
              <w:spacing w:beforeLines="0" w:afterLines="0" w:line="240" w:lineRule="auto"/>
              <w:ind w:firstLine="0" w:firstLineChars="0"/>
              <w:jc w:val="center"/>
            </w:pPr>
          </w:p>
        </w:tc>
      </w:tr>
      <w:tr w14:paraId="06EF7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right"/>
        </w:trPr>
        <w:tc>
          <w:tcPr>
            <w:tcW w:w="2394" w:type="dxa"/>
            <w:vAlign w:val="center"/>
          </w:tcPr>
          <w:p w14:paraId="23FCF033">
            <w:pPr>
              <w:pStyle w:val="15"/>
              <w:spacing w:beforeLines="0" w:afterLines="0" w:line="240" w:lineRule="auto"/>
              <w:ind w:firstLine="482"/>
              <w:jc w:val="center"/>
              <w:rPr>
                <w:b/>
              </w:rPr>
            </w:pPr>
            <w:r>
              <w:rPr>
                <w:rFonts w:hint="eastAsia"/>
                <w:b/>
              </w:rPr>
              <w:t>日期</w:t>
            </w:r>
          </w:p>
        </w:tc>
        <w:tc>
          <w:tcPr>
            <w:tcW w:w="6128" w:type="dxa"/>
            <w:vAlign w:val="center"/>
          </w:tcPr>
          <w:p w14:paraId="55833506">
            <w:pPr>
              <w:pStyle w:val="15"/>
              <w:spacing w:beforeLines="0" w:afterLines="0" w:line="240" w:lineRule="auto"/>
              <w:ind w:firstLine="0" w:firstLineChars="0"/>
              <w:jc w:val="center"/>
            </w:pPr>
            <w:r>
              <w:rPr>
                <w:rFonts w:hint="eastAsia"/>
              </w:rPr>
              <w:t>年    月    日</w:t>
            </w:r>
          </w:p>
        </w:tc>
      </w:tr>
    </w:tbl>
    <w:p w14:paraId="632BCA42">
      <w:pPr>
        <w:widowControl/>
        <w:shd w:val="clear" w:color="auto" w:fill="FFFFFF"/>
        <w:spacing w:line="440" w:lineRule="exact"/>
        <w:jc w:val="left"/>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CCABD">
    <w:pPr>
      <w:pStyle w:val="6"/>
    </w:pPr>
  </w:p>
  <w:p w14:paraId="24C44BCF">
    <w:pPr>
      <w:pStyle w:val="6"/>
    </w:pPr>
  </w:p>
  <w:p w14:paraId="12009DD1">
    <w:pPr>
      <w:pStyle w:val="6"/>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14:paraId="6EFD956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8C672">
    <w:pPr>
      <w:pBdr>
        <w:bottom w:val="none" w:color="auto" w:sz="0" w:space="1"/>
      </w:pBdr>
      <w:tabs>
        <w:tab w:val="center" w:pos="4153"/>
        <w:tab w:val="right" w:pos="8306"/>
      </w:tabs>
      <w:snapToGrid w:val="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294C3"/>
    <w:multiLevelType w:val="singleLevel"/>
    <w:tmpl w:val="829294C3"/>
    <w:lvl w:ilvl="0" w:tentative="0">
      <w:start w:val="1"/>
      <w:numFmt w:val="chineseCounting"/>
      <w:suff w:val="nothing"/>
      <w:lvlText w:val="（%1）"/>
      <w:lvlJc w:val="left"/>
      <w:pPr>
        <w:ind w:left="0" w:firstLine="420"/>
      </w:pPr>
      <w:rPr>
        <w:rFonts w:hint="eastAsia"/>
      </w:rPr>
    </w:lvl>
  </w:abstractNum>
  <w:abstractNum w:abstractNumId="1">
    <w:nsid w:val="97FD444B"/>
    <w:multiLevelType w:val="singleLevel"/>
    <w:tmpl w:val="97FD444B"/>
    <w:lvl w:ilvl="0" w:tentative="0">
      <w:start w:val="1"/>
      <w:numFmt w:val="chineseCounting"/>
      <w:suff w:val="nothing"/>
      <w:lvlText w:val="（%1）"/>
      <w:lvlJc w:val="left"/>
      <w:pPr>
        <w:ind w:left="0" w:firstLine="420"/>
      </w:pPr>
      <w:rPr>
        <w:rFonts w:hint="eastAsia"/>
      </w:rPr>
    </w:lvl>
  </w:abstractNum>
  <w:abstractNum w:abstractNumId="2">
    <w:nsid w:val="EDE2FEC3"/>
    <w:multiLevelType w:val="singleLevel"/>
    <w:tmpl w:val="EDE2FEC3"/>
    <w:lvl w:ilvl="0" w:tentative="0">
      <w:start w:val="1"/>
      <w:numFmt w:val="chineseCounting"/>
      <w:suff w:val="nothing"/>
      <w:lvlText w:val="（%1）"/>
      <w:lvlJc w:val="left"/>
      <w:pPr>
        <w:ind w:left="0" w:firstLine="420"/>
      </w:pPr>
      <w:rPr>
        <w:rFonts w:hint="eastAsia"/>
      </w:rPr>
    </w:lvl>
  </w:abstractNum>
  <w:abstractNum w:abstractNumId="3">
    <w:nsid w:val="59AE0066"/>
    <w:multiLevelType w:val="singleLevel"/>
    <w:tmpl w:val="59AE0066"/>
    <w:lvl w:ilvl="0" w:tentative="0">
      <w:start w:val="1"/>
      <w:numFmt w:val="chineseCounting"/>
      <w:suff w:val="space"/>
      <w:lvlText w:val="第%1章"/>
      <w:lvlJc w:val="left"/>
    </w:lvl>
  </w:abstractNum>
  <w:abstractNum w:abstractNumId="4">
    <w:nsid w:val="678B8E98"/>
    <w:multiLevelType w:val="singleLevel"/>
    <w:tmpl w:val="678B8E98"/>
    <w:lvl w:ilvl="0" w:tentative="0">
      <w:start w:val="1"/>
      <w:numFmt w:val="chineseCounting"/>
      <w:suff w:val="nothing"/>
      <w:lvlText w:val="第%1条 "/>
      <w:lvlJc w:val="left"/>
      <w:pPr>
        <w:ind w:left="0" w:firstLine="40"/>
      </w:pPr>
      <w:rPr>
        <w:rFonts w:hint="eastAsia"/>
        <w:b/>
        <w:sz w:val="24"/>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6C484A51"/>
    <w:rsid w:val="00026F94"/>
    <w:rsid w:val="000359F5"/>
    <w:rsid w:val="00190218"/>
    <w:rsid w:val="003458E1"/>
    <w:rsid w:val="00377A85"/>
    <w:rsid w:val="004073AF"/>
    <w:rsid w:val="00435ED0"/>
    <w:rsid w:val="00465357"/>
    <w:rsid w:val="005309E0"/>
    <w:rsid w:val="0056259F"/>
    <w:rsid w:val="005E6C53"/>
    <w:rsid w:val="006A1D65"/>
    <w:rsid w:val="006B75EC"/>
    <w:rsid w:val="0073615C"/>
    <w:rsid w:val="00775B8F"/>
    <w:rsid w:val="00777D8F"/>
    <w:rsid w:val="007D31FD"/>
    <w:rsid w:val="00985232"/>
    <w:rsid w:val="00A4483C"/>
    <w:rsid w:val="00AC1CFA"/>
    <w:rsid w:val="00B404EF"/>
    <w:rsid w:val="00BD499C"/>
    <w:rsid w:val="00BF67B5"/>
    <w:rsid w:val="00C14259"/>
    <w:rsid w:val="00CE328C"/>
    <w:rsid w:val="00D25C0C"/>
    <w:rsid w:val="00DE6EC8"/>
    <w:rsid w:val="00DF0C7C"/>
    <w:rsid w:val="00E8203B"/>
    <w:rsid w:val="00E9529B"/>
    <w:rsid w:val="01B35265"/>
    <w:rsid w:val="02A565C4"/>
    <w:rsid w:val="040171FC"/>
    <w:rsid w:val="048A2A3A"/>
    <w:rsid w:val="04F34CAC"/>
    <w:rsid w:val="072D5D6C"/>
    <w:rsid w:val="07EC4BB7"/>
    <w:rsid w:val="086128E5"/>
    <w:rsid w:val="09577776"/>
    <w:rsid w:val="0CCE7447"/>
    <w:rsid w:val="0D727261"/>
    <w:rsid w:val="0E840109"/>
    <w:rsid w:val="12125D0B"/>
    <w:rsid w:val="14862C88"/>
    <w:rsid w:val="15F80340"/>
    <w:rsid w:val="190F29F2"/>
    <w:rsid w:val="191E19E7"/>
    <w:rsid w:val="1A9578C8"/>
    <w:rsid w:val="1CB172F1"/>
    <w:rsid w:val="1D532940"/>
    <w:rsid w:val="20CD39D9"/>
    <w:rsid w:val="23D077F6"/>
    <w:rsid w:val="2A160A40"/>
    <w:rsid w:val="2BA9003B"/>
    <w:rsid w:val="2C29300D"/>
    <w:rsid w:val="2C542EE5"/>
    <w:rsid w:val="2CB632A9"/>
    <w:rsid w:val="2DE5469A"/>
    <w:rsid w:val="34C71273"/>
    <w:rsid w:val="38DD4BCD"/>
    <w:rsid w:val="3ACE2100"/>
    <w:rsid w:val="3B1130A3"/>
    <w:rsid w:val="3B467DA1"/>
    <w:rsid w:val="3C456A27"/>
    <w:rsid w:val="3C916F30"/>
    <w:rsid w:val="3DF914BC"/>
    <w:rsid w:val="3E2F6793"/>
    <w:rsid w:val="41BD68A0"/>
    <w:rsid w:val="4347092C"/>
    <w:rsid w:val="43C4235E"/>
    <w:rsid w:val="47D9072E"/>
    <w:rsid w:val="489442EC"/>
    <w:rsid w:val="4B96400E"/>
    <w:rsid w:val="4DF23AA8"/>
    <w:rsid w:val="50AA6CA6"/>
    <w:rsid w:val="53131025"/>
    <w:rsid w:val="53B97202"/>
    <w:rsid w:val="54B274F0"/>
    <w:rsid w:val="55A33523"/>
    <w:rsid w:val="5810482A"/>
    <w:rsid w:val="581E68A0"/>
    <w:rsid w:val="5CBE6AFE"/>
    <w:rsid w:val="5D12423A"/>
    <w:rsid w:val="5D6E2E38"/>
    <w:rsid w:val="5D753E44"/>
    <w:rsid w:val="5FE321D3"/>
    <w:rsid w:val="60152A45"/>
    <w:rsid w:val="614B5045"/>
    <w:rsid w:val="64214B77"/>
    <w:rsid w:val="665B4A3D"/>
    <w:rsid w:val="6C484A51"/>
    <w:rsid w:val="6C4A3FF3"/>
    <w:rsid w:val="6EE36B1A"/>
    <w:rsid w:val="6FD335AB"/>
    <w:rsid w:val="737450DF"/>
    <w:rsid w:val="73BC13FF"/>
    <w:rsid w:val="76784FBE"/>
    <w:rsid w:val="77816753"/>
    <w:rsid w:val="7B853DAF"/>
    <w:rsid w:val="7BB31A60"/>
    <w:rsid w:val="7D8637DB"/>
    <w:rsid w:val="7F5A6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16"/>
    <w:unhideWhenUsed/>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2"/>
    <w:qFormat/>
    <w:uiPriority w:val="0"/>
    <w:rPr>
      <w:sz w:val="18"/>
      <w:szCs w:val="18"/>
    </w:rPr>
  </w:style>
  <w:style w:type="paragraph" w:styleId="6">
    <w:name w:val="footer"/>
    <w:basedOn w:val="1"/>
    <w:link w:val="1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脚 Char"/>
    <w:basedOn w:val="10"/>
    <w:link w:val="6"/>
    <w:qFormat/>
    <w:uiPriority w:val="0"/>
    <w:rPr>
      <w:rFonts w:ascii="Times New Roman" w:hAnsi="Times New Roman" w:eastAsia="宋体" w:cs="Times New Roman"/>
      <w:kern w:val="2"/>
      <w:sz w:val="18"/>
      <w:szCs w:val="18"/>
    </w:rPr>
  </w:style>
  <w:style w:type="character" w:customStyle="1" w:styleId="12">
    <w:name w:val="批注框文本 Char"/>
    <w:basedOn w:val="10"/>
    <w:link w:val="5"/>
    <w:qFormat/>
    <w:uiPriority w:val="0"/>
    <w:rPr>
      <w:rFonts w:ascii="Times New Roman" w:hAnsi="Times New Roman" w:eastAsia="宋体" w:cs="Times New Roman"/>
      <w:kern w:val="2"/>
      <w:sz w:val="18"/>
      <w:szCs w:val="18"/>
    </w:rPr>
  </w:style>
  <w:style w:type="paragraph" w:customStyle="1" w:styleId="13">
    <w:name w:val="IPO标题1"/>
    <w:basedOn w:val="2"/>
    <w:qFormat/>
    <w:uiPriority w:val="0"/>
    <w:pPr>
      <w:spacing w:beforeLines="250" w:afterLines="250" w:line="360" w:lineRule="auto"/>
      <w:jc w:val="center"/>
    </w:pPr>
    <w:rPr>
      <w:rFonts w:ascii="Arial" w:hAnsi="Arial" w:eastAsia="黑体"/>
      <w:snapToGrid w:val="0"/>
      <w:kern w:val="2"/>
      <w:sz w:val="32"/>
      <w:szCs w:val="32"/>
    </w:rPr>
  </w:style>
  <w:style w:type="paragraph" w:customStyle="1" w:styleId="14">
    <w:name w:val="IPO标题2"/>
    <w:basedOn w:val="3"/>
    <w:next w:val="15"/>
    <w:qFormat/>
    <w:uiPriority w:val="0"/>
    <w:pPr>
      <w:widowControl/>
      <w:tabs>
        <w:tab w:val="left" w:pos="500"/>
        <w:tab w:val="left" w:pos="1008"/>
      </w:tabs>
      <w:spacing w:beforeLines="50" w:afterLines="50" w:line="360" w:lineRule="auto"/>
      <w:jc w:val="left"/>
    </w:pPr>
    <w:rPr>
      <w:rFonts w:ascii="Arial" w:hAnsi="Arial" w:cs="Times New Roman" w:eastAsiaTheme="majorEastAsia"/>
      <w:kern w:val="0"/>
      <w:sz w:val="28"/>
      <w:szCs w:val="28"/>
    </w:rPr>
  </w:style>
  <w:style w:type="paragraph" w:customStyle="1" w:styleId="15">
    <w:name w:val="IPO正文"/>
    <w:basedOn w:val="1"/>
    <w:qFormat/>
    <w:uiPriority w:val="0"/>
    <w:pPr>
      <w:spacing w:beforeLines="50" w:afterLines="50" w:line="360" w:lineRule="auto"/>
      <w:ind w:firstLine="200" w:firstLineChars="200"/>
    </w:pPr>
    <w:rPr>
      <w:rFonts w:ascii="Arial" w:hAnsi="Arial"/>
      <w:color w:val="000000"/>
      <w:sz w:val="24"/>
    </w:rPr>
  </w:style>
  <w:style w:type="character" w:customStyle="1" w:styleId="16">
    <w:name w:val="标题 3 Char"/>
    <w:basedOn w:val="10"/>
    <w:link w:val="4"/>
    <w:qFormat/>
    <w:uiPriority w:val="0"/>
    <w:rPr>
      <w:rFonts w:ascii="Times New Roman" w:hAnsi="Times New Roman" w:eastAsia="宋体" w:cs="Times New Roman"/>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中国石油大学</Company>
  <Pages>11</Pages>
  <Words>3429</Words>
  <Characters>3434</Characters>
  <Lines>35</Lines>
  <Paragraphs>10</Paragraphs>
  <TotalTime>14</TotalTime>
  <ScaleCrop>false</ScaleCrop>
  <LinksUpToDate>false</LinksUpToDate>
  <CharactersWithSpaces>3444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2017-02-04T07:48:00Z</dcterms:created>
  <dc:creator>Administrator</dc:creator>
  <cp:lastModifiedBy>欢欢•﹏•</cp:lastModifiedBy>
  <cp:lastPrinted>2017-09-05T04:01:00Z</cp:lastPrinted>
  <dcterms:modified xsi:type="dcterms:W3CDTF">2025-08-28T00:54:14Z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73C05ABCFEEC4CD79F5515F48A4046E4</vt:lpwstr>
  </property>
  <property fmtid="{D5CDD505-2E9C-101B-9397-08002B2CF9AE}" pid="4" name="KSOTemplateDocerSaveRecord">
    <vt:lpwstr>eyJoZGlkIjoiNzc1YTE5YWU2NTY3NGU2YzhhODgwZTRjZjczZTVjNjEiLCJ1c2VySWQiOiI0OTM4ODQzODAifQ==</vt:lpwstr>
  </property>
</Properties>
</file>