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7" w:lineRule="atLeast"/>
        <w:ind w:left="0" w:right="0"/>
        <w:jc w:val="center"/>
        <w:rPr>
          <w:rFonts w:hint="eastAsia" w:asciiTheme="majorEastAsia" w:hAnsiTheme="majorEastAsia" w:eastAsiaTheme="majorEastAsia" w:cstheme="majorEastAsia"/>
          <w:sz w:val="30"/>
          <w:szCs w:val="30"/>
        </w:rPr>
      </w:pPr>
      <w:bookmarkStart w:id="0" w:name="_GoBack"/>
      <w:r>
        <w:rPr>
          <w:rFonts w:hint="eastAsia" w:asciiTheme="majorEastAsia" w:hAnsiTheme="majorEastAsia" w:eastAsiaTheme="majorEastAsia" w:cstheme="majorEastAsia"/>
          <w:i w:val="0"/>
          <w:caps w:val="0"/>
          <w:color w:val="333333"/>
          <w:spacing w:val="0"/>
          <w:sz w:val="30"/>
          <w:szCs w:val="30"/>
          <w:bdr w:val="none" w:color="auto" w:sz="0" w:space="0"/>
        </w:rPr>
        <w:t>财务知识一点通系列之十五： 培养敏锐嗅觉 炼就排雷专家</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0"/>
        <w:jc w:val="center"/>
        <w:rPr>
          <w:rFonts w:hint="eastAsia" w:asciiTheme="minorEastAsia" w:hAnsiTheme="minorEastAsia" w:eastAsiaTheme="minorEastAsia" w:cstheme="minorEastAsia"/>
          <w:i w:val="0"/>
          <w:caps w:val="0"/>
          <w:color w:val="999999"/>
          <w:spacing w:val="0"/>
          <w:sz w:val="21"/>
          <w:szCs w:val="21"/>
        </w:rPr>
      </w:pPr>
      <w:r>
        <w:rPr>
          <w:rFonts w:hint="eastAsia" w:asciiTheme="minorEastAsia" w:hAnsiTheme="minorEastAsia" w:eastAsiaTheme="minorEastAsia" w:cstheme="minorEastAsia"/>
          <w:i w:val="0"/>
          <w:caps w:val="0"/>
          <w:color w:val="999999"/>
          <w:spacing w:val="0"/>
          <w:kern w:val="0"/>
          <w:sz w:val="21"/>
          <w:szCs w:val="21"/>
          <w:bdr w:val="none" w:color="auto" w:sz="0" w:space="0"/>
          <w:lang w:val="en-US" w:eastAsia="zh-CN" w:bidi="ar"/>
        </w:rPr>
        <w:t>时间：2018-10-22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编者按：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right="0"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大数据时代下，如何从财务视角读取事物本质，并借此增加投资成功率，是投资者面临的一项重要课题。为了帮助投资者提高财务专业知识水平，提升财务分析和判断能力，深交所投教中心特别推出“财务知识一点通”系列投教文章，本篇为第十五篇，供广大投资者参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培养敏锐“嗅觉”  炼就“排雷专家”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深交所投资者教育中心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在之前的系列文章中，我们“解锁”了几种常见的财务舞弊套路。投资者必定迫切地想知道：财务舞弊迹象如何识别呢？可能存在舞弊的财务报表又如何发现呢？本篇我们就来总结一下，有哪些方法可以帮助投资者培养敏锐的“嗅觉”，成为见招拆招的“排雷专家”，让隐藏在套路背后的真相无处遁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i w:val="0"/>
          <w:caps w:val="0"/>
          <w:color w:val="333333"/>
          <w:spacing w:val="0"/>
          <w:kern w:val="0"/>
          <w:sz w:val="21"/>
          <w:szCs w:val="21"/>
          <w:bdr w:val="none" w:color="auto" w:sz="0" w:space="0"/>
          <w:lang w:val="en-US" w:eastAsia="zh-CN" w:bidi="ar"/>
        </w:rPr>
        <w:t>一、提高风险意识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投资者要关注哪些企业容易出现财务舞弊呢？答案是：存在舞弊动机和舞弊机会的企业。对于这些企业，建议投资者务必提高警惕，谨慎投资。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（一）舞弊动机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在本系列的第十一篇中，我们曾为大家介绍过上市公司主要的舞弊动机有两类，即提升股价和满足各利益相关方对特定财务指标的要求。同时，我们回顾了自2017年以来的一些由于财务舞弊而受到证监会行政处罚的案例，发现多有以下特征：第一，财务指标触及戴上“ST”帽子警戒线的上市公司；第二，为配合大股东增持或减持的上市公司；第三，实现与有关协议（如对赌协议、盈利预测协议等）中业绩相关的目标要求。这些都可以作为识别是否存在舞弊动机的“蛛丝马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（二）舞弊机会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舞弊机会是指企业进行舞弊而又不被发现或能逃避惩罚的可能性。看一个企业是否存在舞弊机会，一般可以关注：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1、上市公司内部控制。上市公司建立内控制度时，需要对其经营风险和经营流程进行全面分析，并设定关键控制点以确保日常运营得到有效管理和监督，避免相关风险。良好的内部控制，能有效避免舞弊的发生，反之则成为舞弊孳生的沃土。投资者可通过以下两个途径了解上市公司内部控制情况并据此分析是否存在舞弊的机会，以此来规避连内部控制都没有过关的高风险企业：（1）查看会计师事务所对上市公司的内部控制所出具报告的意见类型；（2）通过公开信息了解上市公司的管理层结构。一般来讲，薄弱的管理层结构或者任人唯亲的家族式企业，产生舞弊的可能性相对较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2、上市公司的业务性质。财务舞弊机会还与公司业务性质有关，某些业务性质会导致财务舞弊高发。例如业务涉及大量现金交易时，内部控制难以到位，外部审计、监查追踪业务难度大；业务流程高度依赖电子数据，电子数据的追踪与归集过程的复杂性可能导致其易于在数据处理过程中被人为干预且难以被发现；业务涉及免税行业，由于免税，使得造假成本大大降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i w:val="0"/>
          <w:caps w:val="0"/>
          <w:color w:val="333333"/>
          <w:spacing w:val="0"/>
          <w:kern w:val="0"/>
          <w:sz w:val="21"/>
          <w:szCs w:val="21"/>
          <w:bdr w:val="none" w:color="auto" w:sz="0" w:space="0"/>
          <w:lang w:val="en-US" w:eastAsia="zh-CN" w:bidi="ar"/>
        </w:rPr>
        <w:t>二、关注风险信号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right="0"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投资者要关注财务报表责任主体的变动情况，从中发现舞弊信号。上市公司的管理层、治理层及对其财务报表进行审计的会计事务所是提交这份财务报表最直接的责任人，如果责任人出了异动，那么对于这份财务报表，投资者就要格外当心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right="0"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管理层需要对出具的财务报表负责。管理层，特别是负责财务的高管或董事的频繁变动，就极有可能是舞弊的预警信号。投资者可以从上市公司的年报中了解到当年度高级管理人员及董事（尤其是审计委员会成员）的变动情况，并分析思考相关人员变动的可能原因，以识别可能存在的潜在风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right="0"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会计师事务所的频繁更换也往往是上市公司存在舞弊风险的预警灯。有经验的投资者通过分析前后任审计师的规模、声誉、收费水平及出具报告的时间等细节，可以对风险评估起到良好的帮助。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right="0" w:firstLine="422"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i w:val="0"/>
          <w:caps w:val="0"/>
          <w:color w:val="333333"/>
          <w:spacing w:val="0"/>
          <w:kern w:val="0"/>
          <w:sz w:val="21"/>
          <w:szCs w:val="21"/>
          <w:bdr w:val="none" w:color="auto" w:sz="0" w:space="0"/>
          <w:lang w:val="en-US" w:eastAsia="zh-CN" w:bidi="ar"/>
        </w:rPr>
        <w:t>三、拓宽财务数据分析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right="0"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投资者还应学会综合利用并拓展应对舞弊的利器—财务数据分析。回顾之前所讲的舞弊套路，财务数据分析，如关键财务指标的变动分析、应收账款周转天数及账龄分析和长期资产的账龄分析等，均有可能发现财务舞弊的信号。然而，当舞弊者打出一套组合拳，也就是所谓系统性的“换脸”式财务舞弊时，单单对财务数据进行分析就会显得乏力，因为这些舞弊者在编造这套财务数据，早已将其考虑在内。不过造假者不可能永远不计成本的循环使用组合拳，拉长对被投资企业的视角，分析相对长时间（如3~5年）的财务指标表现，可能更能够帮助投资者有所发现。此外，在被曝光的数个财务舞弊的案例中，舞弊者通常仅仅关注财务报表内财务数据的勾稽关系，而往往会忽略一些财务报表与业务数据之间的联系。例如将产量与工人数量分析，发现人均产量大大超出同业水平，将收入除以销量，发现单价大大超过正常水平。通过这类数据的交叉分析，对于具备良好专业分析能力的投资者，可以加大投资的胜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讲到这里，我们从理论上为投资者浅析财务舞弊套路及应对策略的相关内容就告一段落了。后续，我们将结合实务案例带大家更深入地了解财务舞弊，敬请期待。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（毕马威华振会计师事务所朱昕诺供稿）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lang w:val="en-US" w:eastAsia="zh-CN" w:bidi="ar"/>
        </w:rPr>
        <w:t>（免责声明：本文仅为投资教育之目的而发布，不构成投资建议。投资者据此操作，风险自担。深圳证券交易所力求本文所涉信息准确可靠，但并不对其准确性、完整性和及时性做出任何保证，对因使用本文引发的损失不承担责任。）</w:t>
      </w:r>
    </w:p>
    <w:p>
      <w:pPr>
        <w:rPr>
          <w:rFonts w:hint="eastAsia" w:asciiTheme="minorEastAsia" w:hAnsiTheme="minorEastAsia" w:eastAsiaTheme="minorEastAsia" w:cstheme="minorEastAsia"/>
          <w:sz w:val="21"/>
          <w:szCs w:val="21"/>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spacing w:after="120"/>
      <w:ind w:firstLine="900" w:firstLineChars="500"/>
      <w:rPr>
        <w:rFonts w:hint="eastAsia" w:asciiTheme="minorEastAsia" w:hAnsiTheme="minorEastAsia" w:eastAsiaTheme="minorEastAsia" w:cstheme="minorEastAsia"/>
        <w:i w:val="0"/>
        <w:caps w:val="0"/>
        <w:color w:val="333333"/>
        <w:spacing w:val="0"/>
        <w:sz w:val="18"/>
        <w:szCs w:val="18"/>
        <w:lang w:val="en-US" w:eastAsia="zh-CN"/>
      </w:rPr>
    </w:pPr>
    <w:r>
      <w:rPr>
        <w:rFonts w:hint="eastAsia" w:ascii="宋体" w:hAnsi="宋体"/>
      </w:rPr>
      <w:t>广东凌霄泵业股份有限公司</w:t>
    </w:r>
    <w: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14350" cy="142875"/>
          <wp:effectExtent l="0" t="0" r="0" b="9525"/>
          <wp:wrapSquare wrapText="bothSides"/>
          <wp:docPr id="1" name="图片 1" descr="说明: C:\Users\ADMINI~1\AppData\Local\Temp\ksohtml\wps38D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Users\ADMINI~1\AppData\Local\Temp\ksohtml\wps38DC.tmp.jpg"/>
                  <pic:cNvPicPr>
                    <a:picLocks noChangeAspect="1"/>
                  </pic:cNvPicPr>
                </pic:nvPicPr>
                <pic:blipFill>
                  <a:blip r:embed="rId1"/>
                  <a:stretch>
                    <a:fillRect/>
                  </a:stretch>
                </pic:blipFill>
                <pic:spPr>
                  <a:xfrm>
                    <a:off x="0" y="0"/>
                    <a:ext cx="514350" cy="142875"/>
                  </a:xfrm>
                  <a:prstGeom prst="rect">
                    <a:avLst/>
                  </a:prstGeom>
                  <a:noFill/>
                  <a:ln w="9525">
                    <a:noFill/>
                  </a:ln>
                </pic:spPr>
              </pic:pic>
            </a:graphicData>
          </a:graphic>
        </wp:anchor>
      </w:drawing>
    </w:r>
    <w:r>
      <w:rPr>
        <w:rFonts w:hint="eastAsia"/>
      </w:rPr>
      <w:t xml:space="preserve">                     </w:t>
    </w:r>
    <w:r>
      <w:rPr>
        <w:rFonts w:hint="eastAsia"/>
        <w:lang w:val="en-US" w:eastAsia="zh-CN"/>
      </w:rPr>
      <w:t xml:space="preserve">            </w:t>
    </w:r>
    <w:r>
      <w:rPr>
        <w:rFonts w:hint="eastAsia" w:asciiTheme="minorEastAsia" w:hAnsiTheme="minorEastAsia" w:eastAsiaTheme="minorEastAsia" w:cstheme="minorEastAsia"/>
        <w:i w:val="0"/>
        <w:caps w:val="0"/>
        <w:color w:val="333333"/>
        <w:spacing w:val="0"/>
        <w:sz w:val="18"/>
        <w:szCs w:val="18"/>
      </w:rPr>
      <w:t>培养敏锐嗅觉 炼就排雷专家</w:t>
    </w:r>
    <w:r>
      <w:rPr>
        <w:rFonts w:hint="eastAsia" w:asciiTheme="minorEastAsia" w:hAnsiTheme="minorEastAsia" w:cstheme="minorEastAsia"/>
        <w:i w:val="0"/>
        <w:caps w:val="0"/>
        <w:color w:val="333333"/>
        <w:spacing w:val="0"/>
        <w:sz w:val="18"/>
        <w:szCs w:val="18"/>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A5849"/>
    <w:rsid w:val="04F10851"/>
    <w:rsid w:val="0ABC1695"/>
    <w:rsid w:val="0CFD5F16"/>
    <w:rsid w:val="110D6402"/>
    <w:rsid w:val="1E714C8E"/>
    <w:rsid w:val="21617013"/>
    <w:rsid w:val="31894FE7"/>
    <w:rsid w:val="3320091A"/>
    <w:rsid w:val="33CE4464"/>
    <w:rsid w:val="35E04B1A"/>
    <w:rsid w:val="40E110BF"/>
    <w:rsid w:val="47CC2ED2"/>
    <w:rsid w:val="4CBD279B"/>
    <w:rsid w:val="4E5D0142"/>
    <w:rsid w:val="50E77BEE"/>
    <w:rsid w:val="5C051F27"/>
    <w:rsid w:val="6E043397"/>
    <w:rsid w:val="729B54B3"/>
    <w:rsid w:val="79856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2018-12-22T07:42:05Z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