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BD8C0">
      <w:pPr>
        <w:spacing w:after="120"/>
        <w:ind w:firstLine="602"/>
        <w:jc w:val="center"/>
        <w:rPr>
          <w:rFonts w:hint="eastAsia"/>
          <w:b/>
          <w:sz w:val="30"/>
          <w:szCs w:val="30"/>
        </w:rPr>
      </w:pPr>
      <w:r>
        <w:rPr>
          <w:rFonts w:hint="eastAsia"/>
          <w:b/>
          <w:sz w:val="30"/>
          <w:szCs w:val="30"/>
        </w:rPr>
        <w:t>广东凌霄泵业股份有限公司</w:t>
      </w:r>
    </w:p>
    <w:p w14:paraId="273E5656">
      <w:pPr>
        <w:spacing w:after="120"/>
        <w:ind w:firstLine="602"/>
        <w:jc w:val="center"/>
        <w:rPr>
          <w:b/>
          <w:sz w:val="30"/>
          <w:szCs w:val="30"/>
        </w:rPr>
      </w:pPr>
      <w:r>
        <w:rPr>
          <w:rFonts w:hint="eastAsia"/>
          <w:b/>
          <w:sz w:val="30"/>
          <w:szCs w:val="30"/>
        </w:rPr>
        <w:t>信息披露管理制度</w:t>
      </w:r>
    </w:p>
    <w:p w14:paraId="45ABF211">
      <w:pPr>
        <w:pStyle w:val="2"/>
        <w:numPr>
          <w:ilvl w:val="0"/>
          <w:numId w:val="1"/>
        </w:numPr>
        <w:spacing w:before="721" w:beforeLines="200" w:after="541" w:afterLines="150" w:line="240" w:lineRule="auto"/>
        <w:ind w:firstLine="0" w:firstLineChars="0"/>
      </w:pPr>
      <w:r>
        <w:t>总则</w:t>
      </w:r>
    </w:p>
    <w:p w14:paraId="282A2839">
      <w:pPr>
        <w:pStyle w:val="12"/>
        <w:numPr>
          <w:ilvl w:val="0"/>
          <w:numId w:val="2"/>
        </w:numPr>
        <w:spacing w:after="120"/>
        <w:ind w:firstLineChars="0"/>
      </w:pPr>
      <w:bookmarkStart w:id="0" w:name="_Hlk100559580"/>
      <w:r>
        <w:rPr>
          <w:rFonts w:hint="eastAsia" w:eastAsia="宋体" w:cs="Times New Roman"/>
        </w:rPr>
        <w:t>根据《中华人民共和国公司法》《中华人民共和国证券法》</w:t>
      </w:r>
      <w:bookmarkStart w:id="1" w:name="_GoBack"/>
      <w:bookmarkEnd w:id="1"/>
      <w:r>
        <w:t>《上市公司治理准则》</w:t>
      </w:r>
      <w:r>
        <w:rPr>
          <w:rFonts w:hint="eastAsia" w:eastAsia="宋体" w:cs="Times New Roman"/>
        </w:rPr>
        <w:t>《</w:t>
      </w:r>
      <w:r>
        <w:rPr>
          <w:rFonts w:hint="eastAsia"/>
        </w:rPr>
        <w:t>上市公司信息披露管理办法</w:t>
      </w:r>
      <w:r>
        <w:rPr>
          <w:rFonts w:hint="eastAsia" w:eastAsia="宋体" w:cs="Times New Roman"/>
        </w:rPr>
        <w:t>》《深圳证券交易所股票上市规则》《</w:t>
      </w:r>
      <w:r>
        <w:rPr>
          <w:rFonts w:hint="eastAsia"/>
        </w:rPr>
        <w:t>深圳证券交易所上市公司自律监管指引第5号——信息披露事务管理</w:t>
      </w:r>
      <w:r>
        <w:rPr>
          <w:rFonts w:hint="eastAsia" w:eastAsia="宋体" w:cs="Times New Roman"/>
        </w:rPr>
        <w:t>》等法律、行政法规、部门规章和深圳证券交易所的有关规定</w:t>
      </w:r>
      <w:bookmarkEnd w:id="0"/>
      <w:r>
        <w:rPr>
          <w:rFonts w:hint="eastAsia" w:eastAsia="宋体" w:cs="Times New Roman"/>
        </w:rPr>
        <w:t>，为规范广东凌霄泵业股份有限公司（以下简称“公司”）信息披露行为，确保信息披露的真实、准确、及时、完整，保护投资者合法权益，增加公司透明度，维护公司在资本市场的良好形象，结合公司具体情况，特制定本制度</w:t>
      </w:r>
      <w:r>
        <w:t>。</w:t>
      </w:r>
    </w:p>
    <w:p w14:paraId="6B84C1DA">
      <w:pPr>
        <w:pStyle w:val="12"/>
        <w:numPr>
          <w:ilvl w:val="0"/>
          <w:numId w:val="2"/>
        </w:numPr>
        <w:spacing w:after="120"/>
        <w:ind w:firstLineChars="0"/>
      </w:pPr>
      <w:r>
        <w:t>本制度所称信息披露是指在规定的时间内以规定的披露方式将所有可能对公司股票价格产生重大影响的信息及证券监管部门要求披露的信息在规定的媒体公布。</w:t>
      </w:r>
    </w:p>
    <w:p w14:paraId="199C3824">
      <w:pPr>
        <w:pStyle w:val="12"/>
        <w:numPr>
          <w:ilvl w:val="0"/>
          <w:numId w:val="2"/>
        </w:numPr>
        <w:spacing w:after="120"/>
        <w:ind w:firstLineChars="0"/>
      </w:pPr>
      <w:r>
        <w:rPr>
          <w:rFonts w:hint="eastAsia"/>
        </w:rPr>
        <w:t>本制度适用于以下人员和机构（以下统称“信息披露义务人”）</w:t>
      </w:r>
      <w:r>
        <w:t>：</w:t>
      </w:r>
    </w:p>
    <w:p w14:paraId="2800379F">
      <w:pPr>
        <w:spacing w:after="120"/>
        <w:ind w:firstLine="480"/>
        <w:rPr>
          <w:rFonts w:hint="eastAsia"/>
        </w:rPr>
      </w:pPr>
      <w:r>
        <w:rPr>
          <w:rFonts w:hint="eastAsia"/>
        </w:rPr>
        <w:t>（一）公司董事和董事会；</w:t>
      </w:r>
    </w:p>
    <w:p w14:paraId="2BFA8BAE">
      <w:pPr>
        <w:spacing w:after="120"/>
        <w:ind w:firstLine="480"/>
        <w:rPr>
          <w:rFonts w:hint="eastAsia"/>
        </w:rPr>
      </w:pPr>
      <w:r>
        <w:rPr>
          <w:rFonts w:hint="eastAsia"/>
        </w:rPr>
        <w:t>（二）公司高级管理人员；</w:t>
      </w:r>
    </w:p>
    <w:p w14:paraId="4D1E7135">
      <w:pPr>
        <w:spacing w:after="120"/>
        <w:ind w:firstLine="480"/>
        <w:rPr>
          <w:rFonts w:hint="eastAsia"/>
        </w:rPr>
      </w:pPr>
      <w:r>
        <w:rPr>
          <w:rFonts w:hint="eastAsia"/>
        </w:rPr>
        <w:t>（三）董事会秘书、证券事务代表和证券部；</w:t>
      </w:r>
    </w:p>
    <w:p w14:paraId="2389C4B7">
      <w:pPr>
        <w:spacing w:after="120"/>
        <w:ind w:firstLine="480"/>
        <w:rPr>
          <w:rFonts w:hint="eastAsia"/>
        </w:rPr>
      </w:pPr>
      <w:r>
        <w:rPr>
          <w:rFonts w:hint="eastAsia"/>
        </w:rPr>
        <w:t>（四）公司各部门负责人及指定的信息披露人员；</w:t>
      </w:r>
    </w:p>
    <w:p w14:paraId="73F24F22">
      <w:pPr>
        <w:spacing w:after="120"/>
        <w:ind w:firstLine="480"/>
        <w:rPr>
          <w:rFonts w:hint="eastAsia"/>
        </w:rPr>
      </w:pPr>
      <w:r>
        <w:rPr>
          <w:rFonts w:hint="eastAsia"/>
        </w:rPr>
        <w:t>（五）控股子公司的法定代表人、总经理和财务负责人或者其他指定信息披露人员；</w:t>
      </w:r>
    </w:p>
    <w:p w14:paraId="11D7C75C">
      <w:pPr>
        <w:spacing w:after="120"/>
        <w:ind w:firstLine="480"/>
        <w:rPr>
          <w:rFonts w:hint="eastAsia"/>
        </w:rPr>
      </w:pPr>
      <w:r>
        <w:rPr>
          <w:rFonts w:hint="eastAsia"/>
        </w:rPr>
        <w:t>（六）参股子公司由公司委派的股东代表或者董事、高级管理人员；</w:t>
      </w:r>
    </w:p>
    <w:p w14:paraId="0BB31393">
      <w:pPr>
        <w:spacing w:after="120"/>
        <w:ind w:firstLine="480"/>
        <w:rPr>
          <w:rFonts w:hint="eastAsia"/>
        </w:rPr>
      </w:pPr>
      <w:r>
        <w:rPr>
          <w:rFonts w:hint="eastAsia"/>
        </w:rPr>
        <w:t>（</w:t>
      </w:r>
      <w:r>
        <w:rPr>
          <w:rFonts w:hint="eastAsia"/>
          <w:lang w:val="en-US" w:eastAsia="zh-CN"/>
        </w:rPr>
        <w:t>七</w:t>
      </w:r>
      <w:r>
        <w:rPr>
          <w:rFonts w:hint="eastAsia"/>
        </w:rPr>
        <w:t>）持有公司5%以上股份的股东及潜在股东、实际控制人；</w:t>
      </w:r>
    </w:p>
    <w:p w14:paraId="3ED72B78">
      <w:pPr>
        <w:spacing w:after="120"/>
        <w:ind w:firstLine="480"/>
      </w:pPr>
      <w:r>
        <w:rPr>
          <w:rFonts w:hint="eastAsia"/>
        </w:rPr>
        <w:t>（</w:t>
      </w:r>
      <w:r>
        <w:rPr>
          <w:rFonts w:hint="eastAsia"/>
          <w:lang w:val="en-US" w:eastAsia="zh-CN"/>
        </w:rPr>
        <w:t>八</w:t>
      </w:r>
      <w:r>
        <w:rPr>
          <w:rFonts w:hint="eastAsia"/>
        </w:rPr>
        <w:t>）有关法律法规规定的其他负有信息披露义务和职责的组织、实体或者个人</w:t>
      </w:r>
      <w:r>
        <w:t>。</w:t>
      </w:r>
    </w:p>
    <w:p w14:paraId="4BB671DF">
      <w:pPr>
        <w:pStyle w:val="12"/>
        <w:numPr>
          <w:ilvl w:val="0"/>
          <w:numId w:val="2"/>
        </w:numPr>
        <w:spacing w:after="120"/>
        <w:ind w:firstLineChars="0"/>
      </w:pPr>
      <w:r>
        <w:rPr>
          <w:rFonts w:hint="eastAsia"/>
        </w:rPr>
        <w:t>公司应当及时依法履行信息披露义务，披露的信息应当真实、准确、完整，简明清晰、通俗易懂，不得有虚假记载、误导性陈述或者重大遗漏，并同时向所有投资者披露，不得提前向任何单位和个人泄露。但是，法律、行政法规另有规定的除外</w:t>
      </w:r>
      <w:r>
        <w:t>。</w:t>
      </w:r>
    </w:p>
    <w:p w14:paraId="24DC76B7">
      <w:pPr>
        <w:pStyle w:val="12"/>
        <w:numPr>
          <w:ilvl w:val="0"/>
          <w:numId w:val="2"/>
        </w:numPr>
        <w:spacing w:after="120"/>
        <w:ind w:firstLineChars="0"/>
      </w:pPr>
      <w:r>
        <w:rPr>
          <w:rFonts w:hint="eastAsia"/>
        </w:rPr>
        <w:t>公司的董事、高级管理人员应当忠实、勤勉地履行职责，保证披露信息的真实、准确、完整，信息披露及时、公平</w:t>
      </w:r>
      <w:r>
        <w:t>。</w:t>
      </w:r>
    </w:p>
    <w:p w14:paraId="6F587C0E">
      <w:pPr>
        <w:pStyle w:val="12"/>
        <w:numPr>
          <w:ilvl w:val="0"/>
          <w:numId w:val="2"/>
        </w:numPr>
        <w:spacing w:after="120"/>
        <w:ind w:firstLineChars="0"/>
      </w:pPr>
      <w:r>
        <w:t>除依法应披露的信息之外，信息披露义务人可以自愿披露与投资者作出价值判断和投资决策有关的信息，但不得与依法披露的信息相冲突，不得误导投资者。</w:t>
      </w:r>
    </w:p>
    <w:p w14:paraId="10771B31">
      <w:pPr>
        <w:spacing w:after="120"/>
        <w:ind w:firstLine="480"/>
      </w:pPr>
      <w:r>
        <w:t>信息披露义务人自愿披露的信息应当真实、准确、完整。自愿性信息披露应当遵守公平原则，保持信息披露的持续性和一致性，不得进行选择性披露。</w:t>
      </w:r>
    </w:p>
    <w:p w14:paraId="13B5E205">
      <w:pPr>
        <w:spacing w:after="120"/>
        <w:ind w:firstLine="480"/>
      </w:pPr>
      <w:r>
        <w:t>信息披露义务人不得利用自愿披露的信息不当影响公司证券及其衍生品种交易价格，不得利用自愿性信息披露从事市场操纵等违法违规行为。</w:t>
      </w:r>
    </w:p>
    <w:p w14:paraId="11CC49CD">
      <w:pPr>
        <w:pStyle w:val="12"/>
        <w:numPr>
          <w:ilvl w:val="0"/>
          <w:numId w:val="2"/>
        </w:numPr>
        <w:spacing w:after="120"/>
        <w:ind w:firstLineChars="0"/>
      </w:pPr>
      <w:r>
        <w:rPr>
          <w:rFonts w:hint="eastAsia"/>
        </w:rPr>
        <w:t>在内幕信息依法披露前，内幕信息的知情人和非法获取内幕信息的人不得公开或者泄露该信息，不得利用该信息进行内幕交易。任何单位和个人不得非法要求信息披露义务人提供依法需要披露但尚未披露的信息</w:t>
      </w:r>
      <w:r>
        <w:t>。</w:t>
      </w:r>
    </w:p>
    <w:p w14:paraId="7636C16C">
      <w:pPr>
        <w:pStyle w:val="12"/>
        <w:numPr>
          <w:ilvl w:val="0"/>
          <w:numId w:val="2"/>
        </w:numPr>
        <w:spacing w:after="120"/>
        <w:ind w:firstLineChars="0"/>
      </w:pPr>
      <w:r>
        <w:rPr>
          <w:rFonts w:hint="eastAsia"/>
        </w:rPr>
        <w:t>公司及其实际控制人、股东、关联方、董事、高级管理人员、收购人、资产交易对方、破产重整投资人等相关方作出公开承诺的，应当及时披露并全面履行</w:t>
      </w:r>
      <w:r>
        <w:t>。</w:t>
      </w:r>
    </w:p>
    <w:p w14:paraId="2D61D2C8">
      <w:pPr>
        <w:pStyle w:val="12"/>
        <w:numPr>
          <w:ilvl w:val="0"/>
          <w:numId w:val="2"/>
        </w:numPr>
        <w:spacing w:after="120"/>
        <w:ind w:firstLineChars="0"/>
      </w:pPr>
      <w:r>
        <w:t>公司信息披露文件主要包括定期报告、临时报告、招股说明书、募集说明书、上市公告书、收购报告书等。</w:t>
      </w:r>
    </w:p>
    <w:p w14:paraId="325C619B">
      <w:pPr>
        <w:pStyle w:val="12"/>
        <w:numPr>
          <w:ilvl w:val="0"/>
          <w:numId w:val="2"/>
        </w:numPr>
        <w:spacing w:after="120"/>
        <w:ind w:firstLineChars="0"/>
      </w:pPr>
      <w:r>
        <w:rPr>
          <w:rFonts w:hint="eastAsia"/>
        </w:rPr>
        <w:t>公司依法披露信息，应当在深圳证券交易所的网站和符合中国证监会规定条件的媒体发布</w:t>
      </w:r>
      <w:r>
        <w:t>。</w:t>
      </w:r>
    </w:p>
    <w:p w14:paraId="6BA092A2">
      <w:pPr>
        <w:spacing w:after="120"/>
        <w:ind w:firstLine="480"/>
        <w:rPr>
          <w:rFonts w:hint="eastAsia"/>
        </w:rPr>
      </w:pPr>
      <w:r>
        <w:rPr>
          <w:rFonts w:hint="eastAsia"/>
        </w:rPr>
        <w:t>公司信息披露公告文稿和相关备查文件由董事会秘书指导公司证券部置备于公司住所供社会公众查阅。</w:t>
      </w:r>
    </w:p>
    <w:p w14:paraId="7AF2E19D">
      <w:pPr>
        <w:spacing w:after="120"/>
        <w:ind w:firstLine="480"/>
        <w:rPr>
          <w:rFonts w:hint="eastAsia"/>
        </w:rPr>
      </w:pPr>
      <w:r>
        <w:rPr>
          <w:rFonts w:hint="eastAsia"/>
        </w:rPr>
        <w:t>信息披露文件的全文应当在深圳证券交易所的网站和符合中国证监会规定条件的报刊依法开办的网站披露，定期报告、收购报告书等信息披露文件的摘要应当在深圳证券交易所的网站和符合中国证监会规定条件的报刊披露。</w:t>
      </w:r>
    </w:p>
    <w:p w14:paraId="0105CB70">
      <w:pPr>
        <w:spacing w:after="120"/>
        <w:ind w:firstLine="480"/>
        <w:rPr>
          <w:rFonts w:hint="eastAsia"/>
        </w:rPr>
      </w:pPr>
      <w:r>
        <w:rPr>
          <w:rFonts w:hint="eastAsia"/>
        </w:rPr>
        <w:t>信息披露义务人不得以新闻发布或者答记者问等任何形式代替应当履行的报告、公告义务，不得以定期报告形式代替应当履行的临时报告义务。</w:t>
      </w:r>
    </w:p>
    <w:p w14:paraId="5E708BAD">
      <w:pPr>
        <w:spacing w:after="120"/>
        <w:ind w:firstLine="480"/>
      </w:pPr>
      <w:r>
        <w:rPr>
          <w:rFonts w:hint="eastAsia"/>
        </w:rPr>
        <w:t>在非交易时段，公司和相关信息披露义务人确有需要的，可以对外发布重大信息，但应当在下一交易时段开始前披露相关公告</w:t>
      </w:r>
      <w:r>
        <w:t>。</w:t>
      </w:r>
    </w:p>
    <w:p w14:paraId="53E9DC64">
      <w:pPr>
        <w:pStyle w:val="2"/>
        <w:numPr>
          <w:ilvl w:val="0"/>
          <w:numId w:val="1"/>
        </w:numPr>
        <w:spacing w:before="721" w:beforeLines="200" w:after="541" w:afterLines="150" w:line="240" w:lineRule="auto"/>
        <w:ind w:firstLine="0" w:firstLineChars="0"/>
      </w:pPr>
      <w:r>
        <w:t>信息披露的内容及披露标准</w:t>
      </w:r>
    </w:p>
    <w:p w14:paraId="06B4A5D1">
      <w:pPr>
        <w:pStyle w:val="3"/>
        <w:keepNext/>
        <w:keepLines/>
        <w:pageBreakBefore w:val="0"/>
        <w:widowControl/>
        <w:numPr>
          <w:ilvl w:val="1"/>
          <w:numId w:val="3"/>
        </w:numPr>
        <w:kinsoku/>
        <w:wordWrap/>
        <w:overflowPunct/>
        <w:topLinePunct w:val="0"/>
        <w:autoSpaceDE/>
        <w:autoSpaceDN/>
        <w:bidi w:val="0"/>
        <w:adjustRightInd w:val="0"/>
        <w:snapToGrid w:val="0"/>
        <w:spacing w:before="541" w:beforeLines="150" w:after="361" w:afterLines="100" w:line="360" w:lineRule="auto"/>
        <w:ind w:left="0" w:firstLine="0" w:firstLineChars="0"/>
        <w:jc w:val="center"/>
        <w:textAlignment w:val="auto"/>
        <w:rPr>
          <w:rFonts w:asciiTheme="majorEastAsia" w:hAnsiTheme="majorEastAsia"/>
          <w:sz w:val="24"/>
          <w:szCs w:val="24"/>
        </w:rPr>
      </w:pPr>
      <w:r>
        <w:rPr>
          <w:rFonts w:asciiTheme="majorEastAsia" w:hAnsiTheme="majorEastAsia"/>
          <w:sz w:val="24"/>
          <w:szCs w:val="24"/>
        </w:rPr>
        <w:t>定期报告</w:t>
      </w:r>
    </w:p>
    <w:p w14:paraId="6F32BB85">
      <w:pPr>
        <w:pStyle w:val="12"/>
        <w:numPr>
          <w:ilvl w:val="0"/>
          <w:numId w:val="2"/>
        </w:numPr>
        <w:spacing w:after="120"/>
        <w:ind w:firstLineChars="0"/>
      </w:pPr>
      <w:r>
        <w:rPr>
          <w:rFonts w:hint="eastAsia"/>
        </w:rPr>
        <w:t>公司应披露的定期报告包括年度报告、中期报告。凡是对投资者作出价值判断和投资决策有重大影响的信息，均应当披露</w:t>
      </w:r>
      <w:r>
        <w:t>。</w:t>
      </w:r>
    </w:p>
    <w:p w14:paraId="1DDE1F91">
      <w:pPr>
        <w:spacing w:after="120"/>
        <w:ind w:firstLine="480"/>
      </w:pPr>
      <w:r>
        <w:rPr>
          <w:rFonts w:hint="eastAsia"/>
        </w:rPr>
        <w:t>年度报告中的财务会计报告应当经符合《证券法》规定的会计师事务所审计</w:t>
      </w:r>
      <w:r>
        <w:t>。</w:t>
      </w:r>
    </w:p>
    <w:p w14:paraId="6279BCB5">
      <w:pPr>
        <w:pStyle w:val="12"/>
        <w:numPr>
          <w:ilvl w:val="0"/>
          <w:numId w:val="2"/>
        </w:numPr>
        <w:spacing w:after="120"/>
        <w:ind w:firstLineChars="0"/>
      </w:pPr>
      <w:r>
        <w:t>年度报告应当在每个会计年度结束之日起四个月内，中期报告在每个会计年度的上半年结束之日起两个月内编制完成并披露。</w:t>
      </w:r>
    </w:p>
    <w:p w14:paraId="6B5A0296">
      <w:pPr>
        <w:pStyle w:val="12"/>
        <w:numPr>
          <w:ilvl w:val="0"/>
          <w:numId w:val="2"/>
        </w:numPr>
        <w:spacing w:after="120"/>
        <w:ind w:firstLineChars="0"/>
      </w:pPr>
      <w:r>
        <w:t>定期报告的编制格式及内容应遵守中国证监会及深圳证券交易所的有关规定。</w:t>
      </w:r>
    </w:p>
    <w:p w14:paraId="4E3CAFAF">
      <w:pPr>
        <w:pStyle w:val="12"/>
        <w:numPr>
          <w:ilvl w:val="0"/>
          <w:numId w:val="2"/>
        </w:numPr>
        <w:spacing w:after="120"/>
        <w:ind w:firstLineChars="0"/>
      </w:pPr>
      <w:r>
        <w:rPr>
          <w:rFonts w:hint="eastAsia"/>
        </w:rPr>
        <w:t>定期报告内容应当经公司董事会审议通过。未经董事会审议通过的定期报告不得披露。定期报告中的财务信息应当经审计委员会审核，由审计委员会全体成员过半数同意后提交董事会审议</w:t>
      </w:r>
      <w:r>
        <w:t>。</w:t>
      </w:r>
    </w:p>
    <w:p w14:paraId="641C30FA">
      <w:pPr>
        <w:spacing w:after="120"/>
        <w:ind w:firstLine="480"/>
        <w:rPr>
          <w:rFonts w:hint="eastAsia"/>
        </w:rPr>
      </w:pPr>
      <w:r>
        <w:rPr>
          <w:rFonts w:hint="eastAsia"/>
        </w:rPr>
        <w:t>董事无法保证定期报告内容的真实性、准确性、完整性或者有异议的，应当在董事会审议定期报告时投反对票或者弃权票。</w:t>
      </w:r>
    </w:p>
    <w:p w14:paraId="64AEF25A">
      <w:pPr>
        <w:spacing w:after="120"/>
        <w:ind w:firstLine="480"/>
        <w:rPr>
          <w:rFonts w:hint="eastAsia"/>
        </w:rPr>
      </w:pPr>
      <w:r>
        <w:rPr>
          <w:rFonts w:hint="eastAsia"/>
        </w:rPr>
        <w:t>审计委员会成员无法保证定期报告中财务信息的真实性、准确性、完整性或者有异议的，应当在审计委员会审核定期报告时投反对票或者弃权票。</w:t>
      </w:r>
    </w:p>
    <w:p w14:paraId="653E31DE">
      <w:pPr>
        <w:spacing w:after="120"/>
        <w:ind w:firstLine="480"/>
        <w:rPr>
          <w:rFonts w:hint="eastAsia"/>
        </w:rPr>
      </w:pPr>
      <w:r>
        <w:rPr>
          <w:rFonts w:hint="eastAsia"/>
        </w:rPr>
        <w:t>公司董事、高级管理人员应当对定期报告签署书面确认意见，说明董事会的编制和审议程序是否符合法律、行政法规和中国证监会的规定，报告的内容是否能够真实、准确、完整地反映公司的实际情况。</w:t>
      </w:r>
    </w:p>
    <w:p w14:paraId="23FA1194">
      <w:pPr>
        <w:spacing w:after="120"/>
        <w:ind w:firstLine="480"/>
        <w:rPr>
          <w:rFonts w:hint="eastAsia"/>
        </w:rPr>
      </w:pPr>
      <w:r>
        <w:rPr>
          <w:rFonts w:hint="eastAsia"/>
        </w:rPr>
        <w:t>董事和高级管理人员无法保证定期报告内容的真实性、准确性、完整性或者有异议的，应当在书面确认意见中发表意见并陈述理由，公司应当披露。公司不予披露的，董事和高级管理人员可以直接申请披露。</w:t>
      </w:r>
    </w:p>
    <w:p w14:paraId="2739E848">
      <w:pPr>
        <w:spacing w:after="120"/>
        <w:ind w:firstLine="480"/>
      </w:pPr>
      <w:r>
        <w:rPr>
          <w:rFonts w:hint="eastAsia"/>
        </w:rPr>
        <w:t>董事和高级管理人员按照前款规定发表意见，应当遵循审慎原则，其保证定期报告内容的真实性、准确性、完整性的责任不仅因发表意见而当然免除</w:t>
      </w:r>
      <w:r>
        <w:t>。</w:t>
      </w:r>
    </w:p>
    <w:p w14:paraId="0CE98AE2">
      <w:pPr>
        <w:pStyle w:val="12"/>
        <w:numPr>
          <w:ilvl w:val="0"/>
          <w:numId w:val="2"/>
        </w:numPr>
        <w:spacing w:after="120"/>
        <w:ind w:firstLineChars="0"/>
      </w:pPr>
      <w:r>
        <w:t>公司预计经营业绩发生亏损或者发生大幅变动的，应当及时进行业绩预告。</w:t>
      </w:r>
    </w:p>
    <w:p w14:paraId="2458DA70">
      <w:pPr>
        <w:pStyle w:val="12"/>
        <w:numPr>
          <w:ilvl w:val="0"/>
          <w:numId w:val="2"/>
        </w:numPr>
        <w:spacing w:after="120"/>
        <w:ind w:firstLineChars="0"/>
      </w:pPr>
      <w:r>
        <w:t>定期报告披露前出现业绩泄露，或者出现业绩传闻且公司证券及其衍生品种交易出现异常波动的，公司应当及时披露本报告期的相关财务数据。</w:t>
      </w:r>
    </w:p>
    <w:p w14:paraId="68BADA0E">
      <w:pPr>
        <w:pStyle w:val="12"/>
        <w:numPr>
          <w:ilvl w:val="0"/>
          <w:numId w:val="2"/>
        </w:numPr>
        <w:spacing w:after="120"/>
        <w:ind w:firstLineChars="0"/>
      </w:pPr>
      <w:r>
        <w:rPr>
          <w:rFonts w:hint="eastAsia"/>
        </w:rPr>
        <w:t>定期报告中财务会计报告被出具非标准审计意见的，公司董事会应当针对该审计意见涉及事项作出专项说明</w:t>
      </w:r>
      <w:r>
        <w:t>。</w:t>
      </w:r>
    </w:p>
    <w:p w14:paraId="24730CF2">
      <w:pPr>
        <w:pStyle w:val="3"/>
        <w:keepNext/>
        <w:keepLines/>
        <w:pageBreakBefore w:val="0"/>
        <w:widowControl/>
        <w:numPr>
          <w:ilvl w:val="1"/>
          <w:numId w:val="3"/>
        </w:numPr>
        <w:kinsoku/>
        <w:wordWrap/>
        <w:overflowPunct/>
        <w:topLinePunct w:val="0"/>
        <w:autoSpaceDE/>
        <w:autoSpaceDN/>
        <w:bidi w:val="0"/>
        <w:adjustRightInd w:val="0"/>
        <w:snapToGrid w:val="0"/>
        <w:spacing w:before="541" w:beforeLines="150" w:after="361" w:afterLines="100" w:line="360" w:lineRule="auto"/>
        <w:ind w:firstLine="0" w:firstLineChars="0"/>
        <w:jc w:val="center"/>
        <w:textAlignment w:val="auto"/>
        <w:rPr>
          <w:rFonts w:asciiTheme="majorEastAsia" w:hAnsiTheme="majorEastAsia"/>
          <w:sz w:val="24"/>
          <w:szCs w:val="24"/>
        </w:rPr>
      </w:pPr>
      <w:r>
        <w:rPr>
          <w:rFonts w:asciiTheme="majorEastAsia" w:hAnsiTheme="majorEastAsia"/>
          <w:sz w:val="24"/>
          <w:szCs w:val="24"/>
        </w:rPr>
        <w:t>临时报告</w:t>
      </w:r>
    </w:p>
    <w:p w14:paraId="06387466">
      <w:pPr>
        <w:pStyle w:val="12"/>
        <w:numPr>
          <w:ilvl w:val="0"/>
          <w:numId w:val="2"/>
        </w:numPr>
        <w:spacing w:after="120"/>
        <w:ind w:firstLineChars="0"/>
      </w:pPr>
      <w:r>
        <w:t>发生可能对公司证券及其衍生品种交易价格产生较大影响的重大事件，投资者尚未得知时，公司应当立即披露，说明事件的起因、目前的状态和可能产生的影响。</w:t>
      </w:r>
    </w:p>
    <w:p w14:paraId="0843C43C">
      <w:pPr>
        <w:pStyle w:val="12"/>
        <w:numPr>
          <w:ilvl w:val="0"/>
          <w:numId w:val="2"/>
        </w:numPr>
        <w:spacing w:after="120"/>
        <w:ind w:firstLineChars="0"/>
      </w:pPr>
      <w:r>
        <w:rPr>
          <w:rFonts w:hint="eastAsia"/>
        </w:rPr>
        <w:t>前条所称重大事件包括</w:t>
      </w:r>
      <w:r>
        <w:t>：</w:t>
      </w:r>
    </w:p>
    <w:p w14:paraId="0E73F843">
      <w:pPr>
        <w:spacing w:after="120"/>
        <w:ind w:firstLine="480"/>
        <w:rPr>
          <w:rFonts w:hint="eastAsia"/>
        </w:rPr>
      </w:pPr>
      <w:r>
        <w:rPr>
          <w:rFonts w:hint="eastAsia"/>
        </w:rPr>
        <w:t>（一）《证券法》第八十条第二款规定的重大事件；</w:t>
      </w:r>
    </w:p>
    <w:p w14:paraId="57A8DC95">
      <w:pPr>
        <w:spacing w:after="120"/>
        <w:ind w:firstLine="480"/>
        <w:rPr>
          <w:rFonts w:hint="eastAsia"/>
        </w:rPr>
      </w:pPr>
      <w:r>
        <w:rPr>
          <w:rFonts w:hint="eastAsia"/>
        </w:rPr>
        <w:t>（二）公司发生大额赔偿责任；</w:t>
      </w:r>
    </w:p>
    <w:p w14:paraId="4AD6E5FF">
      <w:pPr>
        <w:spacing w:after="120"/>
        <w:ind w:firstLine="480"/>
        <w:rPr>
          <w:rFonts w:hint="eastAsia"/>
        </w:rPr>
      </w:pPr>
      <w:r>
        <w:rPr>
          <w:rFonts w:hint="eastAsia"/>
        </w:rPr>
        <w:t>（三）公司计提大额资产减值准备；</w:t>
      </w:r>
    </w:p>
    <w:p w14:paraId="213E1DFA">
      <w:pPr>
        <w:spacing w:after="120"/>
        <w:ind w:firstLine="480"/>
        <w:rPr>
          <w:rFonts w:hint="eastAsia"/>
        </w:rPr>
      </w:pPr>
      <w:r>
        <w:rPr>
          <w:rFonts w:hint="eastAsia"/>
        </w:rPr>
        <w:t>（四）公司出现股东权益为负值；</w:t>
      </w:r>
    </w:p>
    <w:p w14:paraId="728E0F8B">
      <w:pPr>
        <w:spacing w:after="120"/>
        <w:ind w:firstLine="480"/>
        <w:rPr>
          <w:rFonts w:hint="eastAsia"/>
        </w:rPr>
      </w:pPr>
      <w:r>
        <w:rPr>
          <w:rFonts w:hint="eastAsia"/>
        </w:rPr>
        <w:t>（五）公司主要债务人出现资不抵债或者进入破产程序，公司对相应债权未提取足额坏账准备；</w:t>
      </w:r>
    </w:p>
    <w:p w14:paraId="53B47476">
      <w:pPr>
        <w:spacing w:after="120"/>
        <w:ind w:firstLine="480"/>
        <w:rPr>
          <w:rFonts w:hint="eastAsia"/>
        </w:rPr>
      </w:pPr>
      <w:r>
        <w:rPr>
          <w:rFonts w:hint="eastAsia"/>
        </w:rPr>
        <w:t>（六）新公布的法律、行政法规、规章、行业政策可能对公司产生重大影响；</w:t>
      </w:r>
    </w:p>
    <w:p w14:paraId="26BBDB6A">
      <w:pPr>
        <w:spacing w:after="120"/>
        <w:ind w:firstLine="480"/>
        <w:rPr>
          <w:rFonts w:hint="eastAsia"/>
        </w:rPr>
      </w:pPr>
      <w:r>
        <w:rPr>
          <w:rFonts w:hint="eastAsia"/>
        </w:rPr>
        <w:t>（七）公司开展股权激励、回购股份、重大资产重组、资产分拆上市或者挂牌；</w:t>
      </w:r>
    </w:p>
    <w:p w14:paraId="1DEFC3CC">
      <w:pPr>
        <w:spacing w:after="120"/>
        <w:ind w:firstLine="480"/>
        <w:rPr>
          <w:rFonts w:hint="eastAsia"/>
        </w:rPr>
      </w:pPr>
      <w:r>
        <w:rPr>
          <w:rFonts w:hint="eastAsia"/>
        </w:rPr>
        <w:t>（八）法院裁决禁止控股股东转让其所持股份；任一股东所持公司</w:t>
      </w:r>
      <w:r>
        <w:rPr>
          <w:rFonts w:hint="eastAsia"/>
          <w:lang w:val="en-US" w:eastAsia="zh-CN"/>
        </w:rPr>
        <w:t>5%</w:t>
      </w:r>
      <w:r>
        <w:rPr>
          <w:rFonts w:hint="eastAsia"/>
        </w:rPr>
        <w:t>以上股份被质押、冻结、司法拍卖、托管、设定信托或者被依法限制表决权等，或者出现被强制过户风险；</w:t>
      </w:r>
    </w:p>
    <w:p w14:paraId="3ADB2260">
      <w:pPr>
        <w:spacing w:after="120"/>
        <w:ind w:firstLine="480"/>
        <w:rPr>
          <w:rFonts w:hint="eastAsia"/>
        </w:rPr>
      </w:pPr>
      <w:r>
        <w:rPr>
          <w:rFonts w:hint="eastAsia"/>
        </w:rPr>
        <w:t>（九）主要资产被查封、扣押或者冻结；主要银行账户被冻结；</w:t>
      </w:r>
    </w:p>
    <w:p w14:paraId="3C6266CB">
      <w:pPr>
        <w:spacing w:after="120"/>
        <w:ind w:firstLine="480"/>
        <w:rPr>
          <w:rFonts w:hint="eastAsia"/>
        </w:rPr>
      </w:pPr>
      <w:r>
        <w:rPr>
          <w:rFonts w:hint="eastAsia"/>
        </w:rPr>
        <w:t>（十）公司预计经营业绩发生亏损或者发生大幅变动；</w:t>
      </w:r>
    </w:p>
    <w:p w14:paraId="21A8FD39">
      <w:pPr>
        <w:spacing w:after="120"/>
        <w:ind w:firstLine="480"/>
        <w:rPr>
          <w:rFonts w:hint="eastAsia"/>
        </w:rPr>
      </w:pPr>
      <w:r>
        <w:rPr>
          <w:rFonts w:hint="eastAsia"/>
        </w:rPr>
        <w:t>（十一）主要或者全部业务陷入停顿；</w:t>
      </w:r>
    </w:p>
    <w:p w14:paraId="1A3425CC">
      <w:pPr>
        <w:spacing w:after="120"/>
        <w:ind w:firstLine="480"/>
        <w:rPr>
          <w:rFonts w:hint="eastAsia"/>
        </w:rPr>
      </w:pPr>
      <w:r>
        <w:rPr>
          <w:rFonts w:hint="eastAsia"/>
        </w:rPr>
        <w:t>（十二）获得对当期损益产生重大影响的额外收益，可能对公司的资产、负债、权益或者经营成果产生重要影响；</w:t>
      </w:r>
    </w:p>
    <w:p w14:paraId="5C8E65A1">
      <w:pPr>
        <w:spacing w:after="120"/>
        <w:ind w:firstLine="480"/>
        <w:rPr>
          <w:rFonts w:hint="eastAsia"/>
        </w:rPr>
      </w:pPr>
      <w:r>
        <w:rPr>
          <w:rFonts w:hint="eastAsia"/>
        </w:rPr>
        <w:t>（十三）聘任或者解聘为公司审计的会计师事务所；</w:t>
      </w:r>
    </w:p>
    <w:p w14:paraId="13ECB637">
      <w:pPr>
        <w:spacing w:after="120"/>
        <w:ind w:firstLine="480"/>
        <w:rPr>
          <w:rFonts w:hint="eastAsia"/>
        </w:rPr>
      </w:pPr>
      <w:r>
        <w:rPr>
          <w:rFonts w:hint="eastAsia"/>
        </w:rPr>
        <w:t>（十四）会计政策、会计估计重大自主变更；</w:t>
      </w:r>
    </w:p>
    <w:p w14:paraId="7844CF93">
      <w:pPr>
        <w:spacing w:after="120"/>
        <w:ind w:firstLine="480"/>
        <w:rPr>
          <w:rFonts w:hint="eastAsia"/>
        </w:rPr>
      </w:pPr>
      <w:r>
        <w:rPr>
          <w:rFonts w:hint="eastAsia"/>
        </w:rPr>
        <w:t>（十五）因前期已披露的信息存在差错、未按规定披露或者虚假记载，被有关机关责令改正或者经董事会决定进行更正；</w:t>
      </w:r>
    </w:p>
    <w:p w14:paraId="67D40965">
      <w:pPr>
        <w:spacing w:after="120"/>
        <w:ind w:firstLine="480"/>
        <w:rPr>
          <w:rFonts w:hint="eastAsia"/>
        </w:rPr>
      </w:pPr>
      <w:r>
        <w:rPr>
          <w:rFonts w:hint="eastAsia"/>
        </w:rPr>
        <w:t>（十六）公司或者其控股股东、实际控制人、董事、高级管理人员受到刑事处罚，涉嫌违法违规被中国证监会立案调查或者受到中国证监会行政处罚，或者受到其他有权机关重大行政处罚；</w:t>
      </w:r>
    </w:p>
    <w:p w14:paraId="7AA85C73">
      <w:pPr>
        <w:spacing w:after="120"/>
        <w:ind w:firstLine="480"/>
        <w:rPr>
          <w:rFonts w:hint="eastAsia"/>
        </w:rPr>
      </w:pPr>
      <w:r>
        <w:rPr>
          <w:rFonts w:hint="eastAsia"/>
        </w:rPr>
        <w:t>（十七）公司的控股股东、实际控制人、董事、高级管理人员涉嫌严重违纪违法或者职务犯罪被纪检监察机关采取留置措施且影响其履行职责；</w:t>
      </w:r>
    </w:p>
    <w:p w14:paraId="42CEA372">
      <w:pPr>
        <w:spacing w:after="120"/>
        <w:ind w:firstLine="480"/>
        <w:rPr>
          <w:rFonts w:hint="eastAsia"/>
        </w:rPr>
      </w:pPr>
      <w:r>
        <w:rPr>
          <w:rFonts w:hint="eastAsia"/>
        </w:rPr>
        <w:t>（十八）除董事长或者经理外的公司其他董事、高级管理人员因身体、工作安排等原因无法正常履行职责达到或者预计达到三个月以上，或者因涉嫌违法违规被有权机关采取强制措施且影响其履行职责；</w:t>
      </w:r>
    </w:p>
    <w:p w14:paraId="309F9C16">
      <w:pPr>
        <w:spacing w:after="120"/>
        <w:ind w:firstLine="480"/>
        <w:rPr>
          <w:rFonts w:hint="eastAsia"/>
        </w:rPr>
      </w:pPr>
      <w:r>
        <w:rPr>
          <w:rFonts w:hint="eastAsia"/>
        </w:rPr>
        <w:t>（十九）中国证监会规定的其他事项。</w:t>
      </w:r>
    </w:p>
    <w:p w14:paraId="23C213BF">
      <w:pPr>
        <w:spacing w:after="120"/>
        <w:ind w:firstLine="480"/>
      </w:pPr>
      <w:r>
        <w:rPr>
          <w:rFonts w:hint="eastAsia"/>
        </w:rPr>
        <w:t>公司的控股股东或者实际控制人对重大事件的发生、进展产生较大影响的，应当及时将其知悉的有关情况书面告知公司，并配合公司履行信息披露义务</w:t>
      </w:r>
      <w:r>
        <w:t>。</w:t>
      </w:r>
    </w:p>
    <w:p w14:paraId="54FACC4D">
      <w:pPr>
        <w:pStyle w:val="12"/>
        <w:numPr>
          <w:ilvl w:val="0"/>
          <w:numId w:val="2"/>
        </w:numPr>
        <w:spacing w:after="120"/>
        <w:ind w:firstLineChars="0"/>
      </w:pPr>
      <w:r>
        <w:t>公司变更名称、股票简称、公司章程、注册资本、注册地址、主要办公地址和联系电话等，应当立即披露。</w:t>
      </w:r>
    </w:p>
    <w:p w14:paraId="7F5E0378">
      <w:pPr>
        <w:pStyle w:val="12"/>
        <w:numPr>
          <w:ilvl w:val="0"/>
          <w:numId w:val="2"/>
        </w:numPr>
        <w:spacing w:after="120"/>
        <w:ind w:firstLineChars="0"/>
      </w:pPr>
      <w:r>
        <w:rPr>
          <w:rFonts w:hint="eastAsia"/>
        </w:rPr>
        <w:t>公司应当在最先发生的以下任一时点，及时履行重大事件的信息披露义务</w:t>
      </w:r>
      <w:r>
        <w:t>：</w:t>
      </w:r>
    </w:p>
    <w:p w14:paraId="786C9A9E">
      <w:pPr>
        <w:spacing w:after="120"/>
        <w:ind w:firstLine="480"/>
        <w:rPr>
          <w:rFonts w:hint="eastAsia"/>
        </w:rPr>
      </w:pPr>
      <w:r>
        <w:rPr>
          <w:rFonts w:hint="eastAsia"/>
        </w:rPr>
        <w:t>（一）董事会就该重大事件形成决议时；</w:t>
      </w:r>
    </w:p>
    <w:p w14:paraId="3BA87ED5">
      <w:pPr>
        <w:spacing w:after="120"/>
        <w:ind w:firstLine="480"/>
        <w:rPr>
          <w:rFonts w:hint="eastAsia"/>
        </w:rPr>
      </w:pPr>
      <w:r>
        <w:rPr>
          <w:rFonts w:hint="eastAsia"/>
        </w:rPr>
        <w:t>（二）有关各方就该重大事件签署意向书或者协议时；</w:t>
      </w:r>
    </w:p>
    <w:p w14:paraId="3CF70368">
      <w:pPr>
        <w:spacing w:after="120"/>
        <w:ind w:firstLine="480"/>
        <w:rPr>
          <w:rFonts w:hint="eastAsia"/>
        </w:rPr>
      </w:pPr>
      <w:r>
        <w:rPr>
          <w:rFonts w:hint="eastAsia"/>
        </w:rPr>
        <w:t>（三）董事或者高级管理人员知悉或者应当知悉该重大事件发生并报告时。</w:t>
      </w:r>
    </w:p>
    <w:p w14:paraId="32BE7571">
      <w:pPr>
        <w:spacing w:after="120"/>
        <w:ind w:firstLine="480"/>
        <w:rPr>
          <w:rFonts w:hint="eastAsia"/>
        </w:rPr>
      </w:pPr>
      <w:r>
        <w:rPr>
          <w:rFonts w:hint="eastAsia"/>
        </w:rPr>
        <w:t>在前款规定的时点及时披露重大事件之前，如果出现下列情形之一的，公司应当及时披露相关事项的现状、可能影响事件进展的风险因素：</w:t>
      </w:r>
    </w:p>
    <w:p w14:paraId="573D592C">
      <w:pPr>
        <w:spacing w:after="120"/>
        <w:ind w:firstLine="480"/>
        <w:rPr>
          <w:rFonts w:hint="eastAsia"/>
        </w:rPr>
      </w:pPr>
      <w:r>
        <w:rPr>
          <w:rFonts w:hint="eastAsia"/>
        </w:rPr>
        <w:t>（一）该重大事件难以保密；</w:t>
      </w:r>
    </w:p>
    <w:p w14:paraId="2243A68B">
      <w:pPr>
        <w:spacing w:after="120"/>
        <w:ind w:firstLine="480"/>
        <w:rPr>
          <w:rFonts w:hint="eastAsia"/>
        </w:rPr>
      </w:pPr>
      <w:r>
        <w:rPr>
          <w:rFonts w:hint="eastAsia"/>
        </w:rPr>
        <w:t>（二）该重大事件已经泄露或者市场出现传闻；</w:t>
      </w:r>
    </w:p>
    <w:p w14:paraId="693952F1">
      <w:pPr>
        <w:spacing w:after="120"/>
        <w:ind w:firstLine="480"/>
      </w:pPr>
      <w:r>
        <w:rPr>
          <w:rFonts w:hint="eastAsia"/>
        </w:rPr>
        <w:t>（三）公司证券及其衍生品种出现异常交易情况</w:t>
      </w:r>
      <w:r>
        <w:t>。</w:t>
      </w:r>
    </w:p>
    <w:p w14:paraId="060052DB">
      <w:pPr>
        <w:pStyle w:val="12"/>
        <w:numPr>
          <w:ilvl w:val="0"/>
          <w:numId w:val="2"/>
        </w:numPr>
        <w:spacing w:after="120"/>
        <w:ind w:firstLineChars="0"/>
      </w:pPr>
      <w:r>
        <w:t>公司披露重大事件后，如果已披露的重大事件出现可能对公司证券及其衍生品种交易价格产生较大影响的进展或者变化的，公司应当及时披露进展或者变化情况、可能产生的影响。</w:t>
      </w:r>
    </w:p>
    <w:p w14:paraId="6C589661">
      <w:pPr>
        <w:pStyle w:val="12"/>
        <w:numPr>
          <w:ilvl w:val="0"/>
          <w:numId w:val="2"/>
        </w:numPr>
        <w:spacing w:after="120"/>
        <w:ind w:firstLineChars="0"/>
      </w:pPr>
      <w:r>
        <w:rPr>
          <w:rFonts w:hint="eastAsia"/>
        </w:rPr>
        <w:t>公司控股子公司发生本制度第十九条规定的重大事件，可能对公司证券及其衍生品种交易价格产生较大影响的，公司应当履行信息披露义务</w:t>
      </w:r>
      <w:r>
        <w:t>。</w:t>
      </w:r>
    </w:p>
    <w:p w14:paraId="4CBEA487">
      <w:pPr>
        <w:spacing w:after="120"/>
        <w:ind w:firstLine="480"/>
      </w:pPr>
      <w:r>
        <w:rPr>
          <w:rFonts w:hint="eastAsia"/>
        </w:rPr>
        <w:t>公司参股公司发生可能对公司证券及其衍生品种交易价格产生较大影响的事件的，公司应当履行信息披露义务</w:t>
      </w:r>
      <w:r>
        <w:t>。</w:t>
      </w:r>
    </w:p>
    <w:p w14:paraId="3CD25356">
      <w:pPr>
        <w:pStyle w:val="12"/>
        <w:numPr>
          <w:ilvl w:val="0"/>
          <w:numId w:val="2"/>
        </w:numPr>
        <w:spacing w:after="120"/>
        <w:ind w:firstLineChars="0"/>
      </w:pPr>
      <w:r>
        <w:t>涉及公司的收购、合并、分立、发行股份、回购股份等行为导致公司股本总额、股东、实际控制人等发生重大变化的，信息披露义务人应当依法履行报告、公告义务，披露权益变动情况。</w:t>
      </w:r>
    </w:p>
    <w:p w14:paraId="5FA32DAC">
      <w:pPr>
        <w:pStyle w:val="12"/>
        <w:numPr>
          <w:ilvl w:val="0"/>
          <w:numId w:val="2"/>
        </w:numPr>
        <w:spacing w:after="120"/>
        <w:ind w:firstLineChars="0"/>
      </w:pPr>
      <w:r>
        <w:rPr>
          <w:rFonts w:hint="eastAsia"/>
        </w:rPr>
        <w:t>公司应当关注本公司证券及其衍生品种的异常交易情况及媒体关于本公司的报道</w:t>
      </w:r>
      <w:r>
        <w:t>。</w:t>
      </w:r>
    </w:p>
    <w:p w14:paraId="2F880290">
      <w:pPr>
        <w:spacing w:after="120"/>
        <w:ind w:firstLine="480" w:firstLineChars="0"/>
        <w:rPr>
          <w:rFonts w:hint="eastAsia"/>
        </w:rPr>
      </w:pPr>
      <w:r>
        <w:rPr>
          <w:rFonts w:hint="eastAsia"/>
        </w:rPr>
        <w:t>证券及其衍生品种发生异常交易或者在媒体中出现的消息可能对公司证券及其衍生品种的交易产生重大影响时，公司应当及时向相关各方了解真实情况，必要时应当以书面方式问询，并予以公开澄清。</w:t>
      </w:r>
    </w:p>
    <w:p w14:paraId="63BF9418">
      <w:pPr>
        <w:spacing w:after="120"/>
        <w:ind w:firstLine="480" w:firstLineChars="0"/>
      </w:pPr>
      <w:r>
        <w:rPr>
          <w:rFonts w:hint="eastAsia"/>
        </w:rPr>
        <w:t>公司控股股东、实际控制人及其一致行动人应当及时、准确地告知公司是否存在拟发生的股权转让、资产重组或者其他重大事件，并配合公司做好信息披露工作</w:t>
      </w:r>
      <w:r>
        <w:t>。</w:t>
      </w:r>
    </w:p>
    <w:p w14:paraId="09902310">
      <w:pPr>
        <w:pStyle w:val="12"/>
        <w:numPr>
          <w:ilvl w:val="0"/>
          <w:numId w:val="2"/>
        </w:numPr>
        <w:spacing w:after="120"/>
        <w:ind w:firstLineChars="0"/>
      </w:pPr>
      <w:r>
        <w:t>公司证券及其衍生品种交易被中国证监会或者证券交易所认定为异常交易的，公司应当及时了解造成证券及其衍生品种交易异常波动的影响因素，并及时披露。</w:t>
      </w:r>
    </w:p>
    <w:p w14:paraId="34643E24">
      <w:pPr>
        <w:pStyle w:val="12"/>
        <w:numPr>
          <w:ilvl w:val="0"/>
          <w:numId w:val="2"/>
        </w:numPr>
        <w:spacing w:after="120"/>
        <w:ind w:firstLineChars="0"/>
      </w:pPr>
      <w:r>
        <w:rPr>
          <w:rFonts w:hint="eastAsia"/>
        </w:rPr>
        <w:t>达到相应标准应披露的交易事项包括:</w:t>
      </w:r>
    </w:p>
    <w:p w14:paraId="6A5801CC">
      <w:pPr>
        <w:spacing w:after="120"/>
        <w:ind w:firstLine="480"/>
        <w:rPr>
          <w:rFonts w:hint="eastAsia"/>
        </w:rPr>
      </w:pPr>
      <w:r>
        <w:rPr>
          <w:rFonts w:hint="eastAsia"/>
        </w:rPr>
        <w:t>（一）购买或者出售资产；</w:t>
      </w:r>
    </w:p>
    <w:p w14:paraId="3CCB7F2B">
      <w:pPr>
        <w:spacing w:after="120"/>
        <w:ind w:firstLine="480"/>
        <w:rPr>
          <w:rFonts w:hint="eastAsia"/>
        </w:rPr>
      </w:pPr>
      <w:r>
        <w:rPr>
          <w:rFonts w:hint="eastAsia"/>
        </w:rPr>
        <w:t>（二）对外投资（含委托理财，对子公司投资等）；</w:t>
      </w:r>
    </w:p>
    <w:p w14:paraId="13270A55">
      <w:pPr>
        <w:spacing w:after="120"/>
        <w:ind w:firstLine="480"/>
        <w:rPr>
          <w:rFonts w:hint="eastAsia"/>
        </w:rPr>
      </w:pPr>
      <w:r>
        <w:rPr>
          <w:rFonts w:hint="eastAsia"/>
        </w:rPr>
        <w:t>（三）提供财务资助；</w:t>
      </w:r>
    </w:p>
    <w:p w14:paraId="0155FF0B">
      <w:pPr>
        <w:spacing w:after="120"/>
        <w:ind w:firstLine="480"/>
        <w:rPr>
          <w:rFonts w:hint="eastAsia"/>
        </w:rPr>
      </w:pPr>
      <w:r>
        <w:rPr>
          <w:rFonts w:hint="eastAsia"/>
        </w:rPr>
        <w:t>（四）提供担保；（含对控股子公司担保等）</w:t>
      </w:r>
    </w:p>
    <w:p w14:paraId="6540F0DE">
      <w:pPr>
        <w:spacing w:after="120"/>
        <w:ind w:firstLine="480"/>
        <w:rPr>
          <w:rFonts w:hint="eastAsia"/>
        </w:rPr>
      </w:pPr>
      <w:r>
        <w:rPr>
          <w:rFonts w:hint="eastAsia"/>
        </w:rPr>
        <w:t>（五）租入或者租出资产；</w:t>
      </w:r>
    </w:p>
    <w:p w14:paraId="321B5BC0">
      <w:pPr>
        <w:spacing w:after="120"/>
        <w:ind w:firstLine="480"/>
        <w:rPr>
          <w:rFonts w:hint="eastAsia"/>
        </w:rPr>
      </w:pPr>
      <w:r>
        <w:rPr>
          <w:rFonts w:hint="eastAsia"/>
        </w:rPr>
        <w:t>（六）委托或者受托管理资产和业务；</w:t>
      </w:r>
    </w:p>
    <w:p w14:paraId="0135A57E">
      <w:pPr>
        <w:spacing w:after="120"/>
        <w:ind w:firstLine="480"/>
        <w:rPr>
          <w:rFonts w:hint="eastAsia"/>
        </w:rPr>
      </w:pPr>
      <w:r>
        <w:rPr>
          <w:rFonts w:hint="eastAsia"/>
        </w:rPr>
        <w:t>（七）赠与或者受赠资产；</w:t>
      </w:r>
    </w:p>
    <w:p w14:paraId="73FDB75E">
      <w:pPr>
        <w:spacing w:after="120"/>
        <w:ind w:firstLine="480"/>
        <w:rPr>
          <w:rFonts w:hint="eastAsia"/>
        </w:rPr>
      </w:pPr>
      <w:r>
        <w:rPr>
          <w:rFonts w:hint="eastAsia"/>
        </w:rPr>
        <w:t>（八）债权或者债务重组；</w:t>
      </w:r>
    </w:p>
    <w:p w14:paraId="20025EBD">
      <w:pPr>
        <w:spacing w:after="120"/>
        <w:ind w:firstLine="480"/>
        <w:rPr>
          <w:rFonts w:hint="eastAsia"/>
        </w:rPr>
      </w:pPr>
      <w:r>
        <w:rPr>
          <w:rFonts w:hint="eastAsia"/>
        </w:rPr>
        <w:t>（九）转让或者受让研发项目；</w:t>
      </w:r>
    </w:p>
    <w:p w14:paraId="57DCA76A">
      <w:pPr>
        <w:spacing w:after="120"/>
        <w:ind w:firstLine="480"/>
        <w:rPr>
          <w:rFonts w:hint="eastAsia"/>
        </w:rPr>
      </w:pPr>
      <w:r>
        <w:rPr>
          <w:rFonts w:hint="eastAsia"/>
        </w:rPr>
        <w:t>（十）签订许可协议；</w:t>
      </w:r>
    </w:p>
    <w:p w14:paraId="2E3CD437">
      <w:pPr>
        <w:spacing w:after="120"/>
        <w:ind w:firstLine="480"/>
        <w:rPr>
          <w:rFonts w:hint="eastAsia"/>
        </w:rPr>
      </w:pPr>
      <w:r>
        <w:rPr>
          <w:rFonts w:hint="eastAsia"/>
        </w:rPr>
        <w:t>（十一）交易所认定的其他交易。</w:t>
      </w:r>
    </w:p>
    <w:p w14:paraId="40F2DF82">
      <w:pPr>
        <w:spacing w:after="120"/>
        <w:ind w:firstLine="480"/>
        <w:rPr>
          <w:rFonts w:hint="eastAsia"/>
        </w:rPr>
      </w:pPr>
      <w:r>
        <w:rPr>
          <w:rFonts w:hint="eastAsia"/>
        </w:rPr>
        <w:t>公司发生的前款交易事项达到下列标准之一的，应当及时披露：</w:t>
      </w:r>
    </w:p>
    <w:p w14:paraId="32477F5E">
      <w:pPr>
        <w:spacing w:after="120"/>
        <w:ind w:firstLine="480"/>
        <w:rPr>
          <w:rFonts w:hint="eastAsia"/>
        </w:rPr>
      </w:pPr>
      <w:r>
        <w:rPr>
          <w:rFonts w:hint="eastAsia"/>
        </w:rPr>
        <w:t>（一）交易涉及的资产总额占公司最近一期经审计总资产的10%以上，该交易涉及的资产总额同时存在账面值和评估值的，以较高者为准；</w:t>
      </w:r>
    </w:p>
    <w:p w14:paraId="20CA4E39">
      <w:pPr>
        <w:spacing w:after="120"/>
        <w:ind w:firstLine="480"/>
        <w:rPr>
          <w:rFonts w:hint="eastAsia"/>
        </w:rPr>
      </w:pPr>
      <w:r>
        <w:rPr>
          <w:rFonts w:hint="eastAsia"/>
        </w:rPr>
        <w:t>（二）交易标的（如股权）涉及的资产净额占公司最近一期经审计净资产的10%以上，且绝对金额超过1000万元，该交易涉及的资产净额同时存在账面值和评估值的，以较高者为准；</w:t>
      </w:r>
    </w:p>
    <w:p w14:paraId="0C894315">
      <w:pPr>
        <w:spacing w:after="120"/>
        <w:ind w:firstLine="480"/>
        <w:rPr>
          <w:rFonts w:hint="eastAsia"/>
        </w:rPr>
      </w:pPr>
      <w:r>
        <w:rPr>
          <w:rFonts w:hint="eastAsia"/>
        </w:rPr>
        <w:t>（三）交易标的（如股权）在最近一个会计年度相关的营业收入占公司最近一个会计年度经审计营业收入的10%以上，且绝对金额超过1000万元；</w:t>
      </w:r>
    </w:p>
    <w:p w14:paraId="2F43035E">
      <w:pPr>
        <w:spacing w:after="120"/>
        <w:ind w:firstLine="480"/>
        <w:rPr>
          <w:rFonts w:hint="eastAsia"/>
        </w:rPr>
      </w:pPr>
      <w:r>
        <w:rPr>
          <w:rFonts w:hint="eastAsia"/>
        </w:rPr>
        <w:t>（四）交易标的（如股权）在最近一个会计年度相关的净利润占公司最近一个会计年度经审计净利润的10%以上，且绝对金额超过100万元；</w:t>
      </w:r>
    </w:p>
    <w:p w14:paraId="5D6C6222">
      <w:pPr>
        <w:spacing w:after="120"/>
        <w:ind w:firstLine="480"/>
        <w:rPr>
          <w:rFonts w:hint="eastAsia"/>
        </w:rPr>
      </w:pPr>
      <w:r>
        <w:rPr>
          <w:rFonts w:hint="eastAsia"/>
        </w:rPr>
        <w:t>（五）交易的成交金额（含承担债务和费用）占公司最近一期经审计净资产的10%以上，且绝对金额超过1000万元；</w:t>
      </w:r>
    </w:p>
    <w:p w14:paraId="6B74A1D4">
      <w:pPr>
        <w:spacing w:after="120"/>
        <w:ind w:firstLine="480"/>
        <w:rPr>
          <w:rFonts w:hint="eastAsia"/>
        </w:rPr>
      </w:pPr>
      <w:r>
        <w:rPr>
          <w:rFonts w:hint="eastAsia"/>
        </w:rPr>
        <w:t>（六）交易产生的利润占公司最近一个会计年度经审计净利润的10%以上，且绝对金额超过100万元。</w:t>
      </w:r>
    </w:p>
    <w:p w14:paraId="1DAC9D33">
      <w:pPr>
        <w:spacing w:after="120"/>
        <w:ind w:firstLine="480"/>
      </w:pPr>
      <w:r>
        <w:rPr>
          <w:rFonts w:hint="eastAsia"/>
        </w:rPr>
        <w:t>上述指标计算中涉及数据为负值的，取其绝对值计算</w:t>
      </w:r>
      <w:r>
        <w:t>。</w:t>
      </w:r>
    </w:p>
    <w:p w14:paraId="57E2F0F9">
      <w:pPr>
        <w:pStyle w:val="12"/>
        <w:numPr>
          <w:ilvl w:val="0"/>
          <w:numId w:val="2"/>
        </w:numPr>
        <w:spacing w:after="120"/>
        <w:ind w:firstLineChars="0"/>
      </w:pPr>
      <w:r>
        <w:rPr>
          <w:rFonts w:hint="eastAsia"/>
        </w:rPr>
        <w:t>公司发生本制度第二十七条规定的“提供财务资助”和“委托理财”等事项时，应当以发生额作为计算标准，并按交易事项的类型在连续十二个月内累计计算。经累计计算达到第二十七条标准的，应及时披露。已按照第二十七条及《上市规则》制度规定履行相关义务的，不再纳入相关的累计计算范围</w:t>
      </w:r>
      <w:r>
        <w:t>。</w:t>
      </w:r>
    </w:p>
    <w:p w14:paraId="5C5A47A6">
      <w:pPr>
        <w:pStyle w:val="12"/>
        <w:numPr>
          <w:ilvl w:val="0"/>
          <w:numId w:val="2"/>
        </w:numPr>
        <w:spacing w:after="120"/>
        <w:ind w:firstLineChars="0"/>
      </w:pPr>
      <w:r>
        <w:rPr>
          <w:rFonts w:hint="eastAsia"/>
        </w:rPr>
        <w:t>公司发生本制度第二十七条规定的“提供担保”事项时，应当经董事会审议后及时对外披露。对于已披露的担保事项，公司还应当在出现下列情形之一时及时披露</w:t>
      </w:r>
      <w:r>
        <w:t>：</w:t>
      </w:r>
    </w:p>
    <w:p w14:paraId="6E45DF44">
      <w:pPr>
        <w:spacing w:after="120"/>
        <w:ind w:firstLine="480"/>
        <w:rPr>
          <w:rFonts w:hint="eastAsia"/>
        </w:rPr>
      </w:pPr>
      <w:r>
        <w:rPr>
          <w:rFonts w:hint="eastAsia"/>
        </w:rPr>
        <w:t>（一）被担保人于债务到期后十五个交易日内未履行还款义务的；</w:t>
      </w:r>
    </w:p>
    <w:p w14:paraId="10EA5083">
      <w:pPr>
        <w:spacing w:after="120"/>
        <w:ind w:firstLine="480"/>
      </w:pPr>
      <w:r>
        <w:rPr>
          <w:rFonts w:hint="eastAsia"/>
        </w:rPr>
        <w:t>（二）被担保人出现破产、清算及其他严重影响还款能力情形的</w:t>
      </w:r>
      <w:r>
        <w:t>。</w:t>
      </w:r>
    </w:p>
    <w:p w14:paraId="5928D389">
      <w:pPr>
        <w:pStyle w:val="12"/>
        <w:numPr>
          <w:ilvl w:val="0"/>
          <w:numId w:val="2"/>
        </w:numPr>
        <w:spacing w:after="120"/>
        <w:ind w:firstLineChars="0"/>
      </w:pPr>
      <w:r>
        <w:t>公司与其合并范围内的控股子公司发生的或者上述控股子公司之间发生的交易，除中国证监会</w:t>
      </w:r>
      <w:r>
        <w:rPr>
          <w:rFonts w:hint="eastAsia"/>
          <w:lang w:eastAsia="zh-CN"/>
        </w:rPr>
        <w:t>或者</w:t>
      </w:r>
      <w:r>
        <w:t>交易所另有规定外，免于按照《上市规则》及上述相关规定披露和履行相应程序。</w:t>
      </w:r>
    </w:p>
    <w:p w14:paraId="678C35DD">
      <w:pPr>
        <w:pStyle w:val="12"/>
        <w:numPr>
          <w:ilvl w:val="0"/>
          <w:numId w:val="2"/>
        </w:numPr>
        <w:spacing w:after="120"/>
        <w:ind w:firstLineChars="0"/>
      </w:pPr>
      <w:r>
        <w:rPr>
          <w:rFonts w:hint="eastAsia"/>
        </w:rPr>
        <w:t>公司发生的关联交易达到下列标准之一的，应及时披露</w:t>
      </w:r>
      <w:r>
        <w:t>：</w:t>
      </w:r>
    </w:p>
    <w:p w14:paraId="1B64207D">
      <w:pPr>
        <w:spacing w:after="120"/>
        <w:ind w:firstLine="480"/>
        <w:rPr>
          <w:rFonts w:hint="eastAsia"/>
        </w:rPr>
      </w:pPr>
      <w:r>
        <w:rPr>
          <w:rFonts w:hint="eastAsia"/>
        </w:rPr>
        <w:t>（一）公司与关联自然人发生的成交金额超过30万元的交易；</w:t>
      </w:r>
    </w:p>
    <w:p w14:paraId="56C08ABE">
      <w:pPr>
        <w:spacing w:after="120"/>
        <w:ind w:firstLine="480"/>
      </w:pPr>
      <w:r>
        <w:rPr>
          <w:rFonts w:hint="eastAsia"/>
        </w:rPr>
        <w:t>（二）公司与关联法人（或者其他组织）发生的成交金额超过300万元，且占公司最近一期经审计净资产绝对值超过0.5%的交易</w:t>
      </w:r>
      <w:r>
        <w:t>。</w:t>
      </w:r>
    </w:p>
    <w:p w14:paraId="6BEE44D0">
      <w:pPr>
        <w:pStyle w:val="12"/>
        <w:numPr>
          <w:ilvl w:val="0"/>
          <w:numId w:val="2"/>
        </w:numPr>
        <w:spacing w:after="120"/>
        <w:ind w:firstLineChars="0"/>
      </w:pPr>
      <w:r>
        <w:rPr>
          <w:rFonts w:hint="eastAsia"/>
        </w:rPr>
        <w:t>公司与关联人发生的成交金额超过3000万元，且占公司最近一期经审计净资产绝对值超过5%的，应当及时披露并提交股东会审议，还应聘请具有执行证券相关业务资格的中介机构，对交易标的进行评估</w:t>
      </w:r>
      <w:r>
        <w:rPr>
          <w:rFonts w:hint="eastAsia"/>
          <w:lang w:eastAsia="zh-CN"/>
        </w:rPr>
        <w:t>或者</w:t>
      </w:r>
      <w:r>
        <w:rPr>
          <w:rFonts w:hint="eastAsia"/>
        </w:rPr>
        <w:t>审计，并将该交易提交股东会审议。公司发生的应当披露的关联交易金额之计算标准按照《上市规则》的有关规定执行</w:t>
      </w:r>
      <w:r>
        <w:t>。</w:t>
      </w:r>
    </w:p>
    <w:p w14:paraId="0F37B9F9">
      <w:pPr>
        <w:pStyle w:val="12"/>
        <w:numPr>
          <w:ilvl w:val="0"/>
          <w:numId w:val="2"/>
        </w:numPr>
        <w:spacing w:after="120"/>
        <w:ind w:firstLineChars="0"/>
      </w:pPr>
      <w:r>
        <w:rPr>
          <w:rFonts w:hint="eastAsia"/>
        </w:rPr>
        <w:t>公司与关联人发生的下列交易，可以免于按照本节规定履行相关义务</w:t>
      </w:r>
      <w:r>
        <w:t>：</w:t>
      </w:r>
    </w:p>
    <w:p w14:paraId="1664A8AA">
      <w:pPr>
        <w:spacing w:after="120"/>
        <w:ind w:firstLine="480"/>
        <w:rPr>
          <w:rFonts w:hint="eastAsia"/>
        </w:rPr>
      </w:pPr>
      <w:r>
        <w:rPr>
          <w:rFonts w:hint="eastAsia"/>
        </w:rPr>
        <w:t>（一）一方以现金方式认购另一方向不特定对象发行的股票及其衍生品种、公司债券或者企业债券，但提前确定的发行对象包含关联人的除外；</w:t>
      </w:r>
    </w:p>
    <w:p w14:paraId="25BB72A6">
      <w:pPr>
        <w:spacing w:after="120"/>
        <w:ind w:firstLine="480"/>
        <w:rPr>
          <w:rFonts w:hint="eastAsia"/>
        </w:rPr>
      </w:pPr>
      <w:r>
        <w:rPr>
          <w:rFonts w:hint="eastAsia"/>
        </w:rPr>
        <w:t>（二）一方作为承销团成员承销另一方向不特定对象发行的股票及其衍生品种、公司债券或者企业债券；</w:t>
      </w:r>
    </w:p>
    <w:p w14:paraId="6E50A67E">
      <w:pPr>
        <w:spacing w:after="120"/>
        <w:ind w:firstLine="480"/>
        <w:rPr>
          <w:rFonts w:hint="eastAsia"/>
        </w:rPr>
      </w:pPr>
      <w:r>
        <w:rPr>
          <w:rFonts w:hint="eastAsia"/>
        </w:rPr>
        <w:t>（三）一方依据另一方股东会决议领取股息、红利或者报酬；</w:t>
      </w:r>
    </w:p>
    <w:p w14:paraId="2C11A88E">
      <w:pPr>
        <w:spacing w:after="120"/>
        <w:ind w:firstLine="480"/>
        <w:rPr>
          <w:rFonts w:hint="eastAsia"/>
        </w:rPr>
      </w:pPr>
      <w:r>
        <w:rPr>
          <w:rFonts w:hint="eastAsia"/>
        </w:rPr>
        <w:t>（四）公司按与非关联人同等交易条件，向《深圳证券交易所股票上市规则》第6.3.3条第三款第二项至第四项规定的关联自然人提供产品和服务；</w:t>
      </w:r>
    </w:p>
    <w:p w14:paraId="3E8EC2E7">
      <w:pPr>
        <w:spacing w:after="120"/>
        <w:ind w:firstLine="480"/>
      </w:pPr>
      <w:r>
        <w:rPr>
          <w:rFonts w:hint="eastAsia"/>
        </w:rPr>
        <w:t>（五）深圳证券交易所认定的其他情形</w:t>
      </w:r>
      <w:r>
        <w:t>。</w:t>
      </w:r>
    </w:p>
    <w:p w14:paraId="1A25F552">
      <w:pPr>
        <w:pStyle w:val="3"/>
        <w:keepNext/>
        <w:keepLines/>
        <w:pageBreakBefore w:val="0"/>
        <w:widowControl/>
        <w:numPr>
          <w:ilvl w:val="1"/>
          <w:numId w:val="3"/>
        </w:numPr>
        <w:kinsoku/>
        <w:wordWrap/>
        <w:overflowPunct/>
        <w:topLinePunct w:val="0"/>
        <w:autoSpaceDE/>
        <w:autoSpaceDN/>
        <w:bidi w:val="0"/>
        <w:adjustRightInd w:val="0"/>
        <w:snapToGrid w:val="0"/>
        <w:spacing w:before="541" w:beforeLines="150" w:after="361" w:afterLines="100" w:line="360" w:lineRule="auto"/>
        <w:ind w:firstLine="0" w:firstLineChars="0"/>
        <w:jc w:val="center"/>
        <w:textAlignment w:val="auto"/>
        <w:rPr>
          <w:rFonts w:asciiTheme="majorEastAsia" w:hAnsiTheme="majorEastAsia"/>
          <w:sz w:val="24"/>
          <w:szCs w:val="24"/>
        </w:rPr>
      </w:pPr>
      <w:r>
        <w:rPr>
          <w:rFonts w:asciiTheme="majorEastAsia" w:hAnsiTheme="majorEastAsia"/>
          <w:sz w:val="24"/>
          <w:szCs w:val="24"/>
        </w:rPr>
        <w:t>招股说明书、募集说明书、上市公告书、收购报告书</w:t>
      </w:r>
    </w:p>
    <w:p w14:paraId="0FFF15ED">
      <w:pPr>
        <w:pStyle w:val="12"/>
        <w:numPr>
          <w:ilvl w:val="0"/>
          <w:numId w:val="2"/>
        </w:numPr>
        <w:spacing w:after="120"/>
        <w:ind w:firstLineChars="0"/>
      </w:pPr>
      <w:r>
        <w:rPr>
          <w:rFonts w:hint="eastAsia"/>
        </w:rPr>
        <w:t>公司编制招股说明书、募集说明书、上市公告书及收购报告书应当符合法律法规、部门规章、中国证监会、深圳证券交易所的相关规定，并及时履行信息披露义务。</w:t>
      </w:r>
    </w:p>
    <w:p w14:paraId="477447C4">
      <w:pPr>
        <w:pStyle w:val="12"/>
        <w:numPr>
          <w:ilvl w:val="0"/>
          <w:numId w:val="2"/>
        </w:numPr>
        <w:spacing w:after="120"/>
        <w:ind w:firstLineChars="0"/>
      </w:pPr>
      <w:r>
        <w:rPr>
          <w:rFonts w:hint="eastAsia"/>
        </w:rPr>
        <w:t>公司公开增资发行证券编制的招股说明书应当符合中国证监会的相关规定。凡是对投资者投资决策有重大影响的信息，均应当在招股说明书中披露。公开发行证券的申请经中国证监会核准后，发行人应当在证券发行前公告招股说明书。公司的董事、高级管理人员，应当对招股说明书签署书面确认意见，保证所披露的信息真实、准确、完整</w:t>
      </w:r>
      <w:r>
        <w:t>。</w:t>
      </w:r>
    </w:p>
    <w:p w14:paraId="7C031465">
      <w:pPr>
        <w:pStyle w:val="12"/>
        <w:numPr>
          <w:ilvl w:val="0"/>
          <w:numId w:val="2"/>
        </w:numPr>
        <w:spacing w:after="120"/>
        <w:ind w:firstLineChars="0"/>
      </w:pPr>
      <w:r>
        <w:t>公司证券发行申请经中国证监会核准后至发行结束前，发生重要事项的，公司应当向中国证监会书面说明，并经中国证监会同意后，修改招股说明书或者作相应的补充公告。</w:t>
      </w:r>
    </w:p>
    <w:p w14:paraId="2D72348E">
      <w:pPr>
        <w:pStyle w:val="12"/>
        <w:numPr>
          <w:ilvl w:val="0"/>
          <w:numId w:val="2"/>
        </w:numPr>
        <w:spacing w:after="120"/>
        <w:ind w:firstLineChars="0"/>
      </w:pPr>
      <w:r>
        <w:rPr>
          <w:rFonts w:hint="eastAsia"/>
        </w:rPr>
        <w:t>公司申请证券上市交易，应当按照深圳证券交易所的规定编制上市公告书，并经深圳证券交易所审核同意后公告。公司的董事、高级管理人员，应当对上市公告书签署书面确认意见，保证所披露的信息真实、准确、完整</w:t>
      </w:r>
      <w:r>
        <w:t>。</w:t>
      </w:r>
    </w:p>
    <w:p w14:paraId="406B5816">
      <w:pPr>
        <w:pStyle w:val="12"/>
        <w:numPr>
          <w:ilvl w:val="0"/>
          <w:numId w:val="2"/>
        </w:numPr>
        <w:spacing w:after="120"/>
        <w:ind w:firstLineChars="0"/>
      </w:pPr>
      <w:r>
        <w:t>公司发行证券的招股说明书、上市公告书引用保荐人、证券服务机构的专业意见或者报告的，相关内容应当与保荐人、证券服务机构出具的文件内容一致，确保引用保荐人、证券服务机构的意见不会产生误导。</w:t>
      </w:r>
    </w:p>
    <w:p w14:paraId="4DF84172">
      <w:pPr>
        <w:pStyle w:val="12"/>
        <w:numPr>
          <w:ilvl w:val="0"/>
          <w:numId w:val="2"/>
        </w:numPr>
        <w:spacing w:after="120"/>
        <w:ind w:firstLineChars="0"/>
      </w:pPr>
      <w:r>
        <w:t>本制度关于公司发行证券招股说明书的规定适用于公司发行债券募集说明书。</w:t>
      </w:r>
    </w:p>
    <w:p w14:paraId="635A794F">
      <w:pPr>
        <w:pStyle w:val="12"/>
        <w:numPr>
          <w:ilvl w:val="0"/>
          <w:numId w:val="2"/>
        </w:numPr>
        <w:spacing w:after="120"/>
        <w:ind w:firstLineChars="0"/>
      </w:pPr>
      <w:r>
        <w:t>公司在非公开发行新股后，应当根据中国证监会及深圳证券交易所的有关规定依法编制和披露发行情况报告书。</w:t>
      </w:r>
    </w:p>
    <w:p w14:paraId="46292BF0">
      <w:pPr>
        <w:pStyle w:val="2"/>
        <w:numPr>
          <w:ilvl w:val="0"/>
          <w:numId w:val="1"/>
        </w:numPr>
        <w:spacing w:before="721" w:beforeLines="200" w:after="541" w:afterLines="150" w:line="240" w:lineRule="auto"/>
        <w:ind w:firstLine="0" w:firstLineChars="0"/>
      </w:pPr>
      <w:r>
        <w:t>信息披露的程序</w:t>
      </w:r>
    </w:p>
    <w:p w14:paraId="127C1E30">
      <w:pPr>
        <w:pStyle w:val="12"/>
        <w:numPr>
          <w:ilvl w:val="0"/>
          <w:numId w:val="2"/>
        </w:numPr>
        <w:spacing w:after="120"/>
        <w:ind w:firstLineChars="0"/>
      </w:pPr>
      <w:r>
        <w:t>本制度所称信息披露的程序是指未公开信息的传递、编制、审核、披露的流程。</w:t>
      </w:r>
    </w:p>
    <w:p w14:paraId="20B5D2CB">
      <w:pPr>
        <w:pStyle w:val="12"/>
        <w:numPr>
          <w:ilvl w:val="0"/>
          <w:numId w:val="2"/>
        </w:numPr>
        <w:spacing w:after="120"/>
        <w:ind w:firstLineChars="0"/>
      </w:pPr>
      <w:r>
        <w:rPr>
          <w:rFonts w:hint="eastAsia"/>
        </w:rPr>
        <w:t>定期报告的编制、审议、披露程序</w:t>
      </w:r>
      <w:r>
        <w:t>：</w:t>
      </w:r>
    </w:p>
    <w:p w14:paraId="658300BD">
      <w:pPr>
        <w:spacing w:after="120"/>
        <w:ind w:firstLine="480"/>
        <w:rPr>
          <w:rFonts w:hint="eastAsia"/>
        </w:rPr>
      </w:pPr>
      <w:r>
        <w:rPr>
          <w:rFonts w:hint="eastAsia"/>
        </w:rPr>
        <w:t>（一）公司总经理、财务负责人、董事会秘书等高级管理人员应当及时编制定期报告草案，提请董事会审议；</w:t>
      </w:r>
    </w:p>
    <w:p w14:paraId="640F1B15">
      <w:pPr>
        <w:spacing w:after="120"/>
        <w:ind w:firstLine="480"/>
        <w:rPr>
          <w:rFonts w:hint="eastAsia"/>
        </w:rPr>
      </w:pPr>
      <w:r>
        <w:rPr>
          <w:rFonts w:hint="eastAsia"/>
        </w:rPr>
        <w:t>（二）董事会秘书负责送达董事审阅；</w:t>
      </w:r>
    </w:p>
    <w:p w14:paraId="3524FD15">
      <w:pPr>
        <w:spacing w:after="120"/>
        <w:ind w:firstLine="480"/>
        <w:rPr>
          <w:rFonts w:hint="eastAsia"/>
        </w:rPr>
      </w:pPr>
      <w:r>
        <w:rPr>
          <w:rFonts w:hint="eastAsia"/>
        </w:rPr>
        <w:t>（三）董事长负责召集和主持董事会会议审议定期报告；</w:t>
      </w:r>
    </w:p>
    <w:p w14:paraId="082523F4">
      <w:pPr>
        <w:spacing w:after="120"/>
        <w:ind w:firstLine="480"/>
        <w:rPr>
          <w:rFonts w:hint="eastAsia"/>
        </w:rPr>
      </w:pPr>
      <w:r>
        <w:rPr>
          <w:rFonts w:hint="eastAsia"/>
        </w:rPr>
        <w:t>（四）审计委员会应当对定期报告中的财务信息进行事前审核，经全体成员过半数通过后提交董事会审议；</w:t>
      </w:r>
    </w:p>
    <w:p w14:paraId="09886C6A">
      <w:pPr>
        <w:spacing w:after="120"/>
        <w:ind w:firstLine="480"/>
      </w:pPr>
      <w:r>
        <w:rPr>
          <w:rFonts w:hint="eastAsia"/>
        </w:rPr>
        <w:t>（五）董事会秘书负责组织定期报告的披露工作</w:t>
      </w:r>
      <w:r>
        <w:t>。</w:t>
      </w:r>
    </w:p>
    <w:p w14:paraId="189AFFA3">
      <w:pPr>
        <w:pStyle w:val="12"/>
        <w:numPr>
          <w:ilvl w:val="0"/>
          <w:numId w:val="2"/>
        </w:numPr>
        <w:spacing w:after="120"/>
        <w:ind w:firstLineChars="0"/>
      </w:pPr>
      <w:r>
        <w:t>临时公告编制、传递、审核和披露的一般程序：</w:t>
      </w:r>
    </w:p>
    <w:p w14:paraId="72D7CD36">
      <w:pPr>
        <w:spacing w:before="240" w:after="120"/>
        <w:ind w:firstLine="480"/>
      </w:pPr>
      <w:r>
        <w:t>（一）</w:t>
      </w:r>
      <w:r>
        <w:rPr>
          <w:rFonts w:hint="eastAsia"/>
        </w:rPr>
        <w:t>提供信息的单位、部门负责人应认真核对相关信息资料；</w:t>
      </w:r>
    </w:p>
    <w:p w14:paraId="3BE692E5">
      <w:pPr>
        <w:spacing w:before="240" w:after="120"/>
        <w:ind w:firstLine="480"/>
      </w:pPr>
      <w:r>
        <w:rPr>
          <w:rFonts w:hint="eastAsia"/>
        </w:rPr>
        <w:t>（二）证券部按照信息披露的有关要求及时组织汇总各单位、部门提供的材料，编写信息披露文稿；</w:t>
      </w:r>
    </w:p>
    <w:p w14:paraId="1129D674">
      <w:pPr>
        <w:spacing w:before="240" w:after="120"/>
        <w:ind w:firstLine="480"/>
      </w:pPr>
      <w:r>
        <w:rPr>
          <w:rFonts w:hint="eastAsia"/>
        </w:rPr>
        <w:t>（三）董事会秘书进行合规性审查；</w:t>
      </w:r>
    </w:p>
    <w:p w14:paraId="74E27884">
      <w:pPr>
        <w:spacing w:before="240" w:after="120"/>
        <w:ind w:firstLine="480"/>
      </w:pPr>
      <w:r>
        <w:rPr>
          <w:rFonts w:hint="eastAsia"/>
        </w:rPr>
        <w:t>（四）董事长审核同意；</w:t>
      </w:r>
    </w:p>
    <w:p w14:paraId="0F1C05F6">
      <w:pPr>
        <w:spacing w:before="240" w:after="120"/>
        <w:ind w:firstLine="480"/>
      </w:pPr>
      <w:r>
        <w:rPr>
          <w:rFonts w:hint="eastAsia"/>
        </w:rPr>
        <w:t>（五）董事会秘书签发公告的有关内容并联系披露事宜。</w:t>
      </w:r>
    </w:p>
    <w:p w14:paraId="14D68F16">
      <w:pPr>
        <w:pStyle w:val="12"/>
        <w:numPr>
          <w:ilvl w:val="0"/>
          <w:numId w:val="2"/>
        </w:numPr>
        <w:spacing w:after="120"/>
        <w:ind w:firstLineChars="0"/>
      </w:pPr>
      <w:r>
        <w:rPr>
          <w:rFonts w:hint="eastAsia"/>
        </w:rPr>
        <w:t>公司重大事件的报告、传递、审核、披露程序</w:t>
      </w:r>
      <w:r>
        <w:t>：</w:t>
      </w:r>
    </w:p>
    <w:p w14:paraId="570B9299">
      <w:pPr>
        <w:widowControl w:val="0"/>
        <w:tabs>
          <w:tab w:val="left" w:pos="1701"/>
        </w:tabs>
        <w:adjustRightInd/>
        <w:snapToGrid/>
        <w:spacing w:before="120" w:beforeLines="50" w:after="120"/>
        <w:ind w:firstLine="480" w:firstLineChars="0"/>
        <w:rPr>
          <w:rFonts w:hint="eastAsia" w:ascii="宋体" w:hAnsi="宋体" w:eastAsia="宋体" w:cs="Times New Roman"/>
        </w:rPr>
      </w:pPr>
      <w:r>
        <w:rPr>
          <w:rFonts w:hint="eastAsia" w:ascii="宋体" w:hAnsi="宋体" w:eastAsia="宋体" w:cs="Times New Roman"/>
        </w:rPr>
        <w:t>按照本制度规定负有信息披露义务的有关人员应在知悉本制度所述重大事件信息时，应当立即以面谈</w:t>
      </w:r>
      <w:r>
        <w:rPr>
          <w:rFonts w:hint="eastAsia" w:ascii="宋体" w:hAnsi="宋体" w:eastAsia="宋体" w:cs="Times New Roman"/>
          <w:lang w:eastAsia="zh-CN"/>
        </w:rPr>
        <w:t>或者</w:t>
      </w:r>
      <w:r>
        <w:rPr>
          <w:rFonts w:hint="eastAsia" w:ascii="宋体" w:hAnsi="宋体" w:eastAsia="宋体" w:cs="Times New Roman"/>
        </w:rPr>
        <w:t>电话方式向公司董事长和董事会秘书报告，并在24小时内将与重大信息有关的书面文件直接递交</w:t>
      </w:r>
      <w:r>
        <w:rPr>
          <w:rFonts w:hint="eastAsia" w:ascii="宋体" w:hAnsi="宋体" w:eastAsia="宋体" w:cs="Times New Roman"/>
          <w:lang w:eastAsia="zh-CN"/>
        </w:rPr>
        <w:t>或者</w:t>
      </w:r>
      <w:r>
        <w:rPr>
          <w:rFonts w:hint="eastAsia" w:ascii="宋体" w:hAnsi="宋体" w:eastAsia="宋体" w:cs="Times New Roman"/>
        </w:rPr>
        <w:t>传真给公司董事会秘书，必要时应将原件以特快专递形式送达。</w:t>
      </w:r>
    </w:p>
    <w:p w14:paraId="5A0E083B">
      <w:pPr>
        <w:widowControl w:val="0"/>
        <w:tabs>
          <w:tab w:val="left" w:pos="1701"/>
        </w:tabs>
        <w:adjustRightInd/>
        <w:snapToGrid/>
        <w:spacing w:before="120" w:beforeLines="50" w:after="120"/>
        <w:ind w:firstLine="480" w:firstLineChars="0"/>
        <w:rPr>
          <w:rFonts w:ascii="宋体" w:hAnsi="宋体"/>
        </w:rPr>
      </w:pPr>
      <w:r>
        <w:rPr>
          <w:rFonts w:hint="eastAsia" w:ascii="宋体" w:hAnsi="宋体" w:eastAsia="宋体" w:cs="Times New Roman"/>
        </w:rPr>
        <w:t>董事会秘书应按照相关法律法规、《深圳证券交易所股票上市规则》等规范性文件及公司章程的有关规定，对上报的重大信息进行分析和判断，如需履行信息披露义务时，董事会秘书应立即向公司董事会进行汇报，提请公司董事会履行相应程序，并按照相关规定予以公开披露。</w:t>
      </w:r>
    </w:p>
    <w:p w14:paraId="377B5946">
      <w:pPr>
        <w:pStyle w:val="12"/>
        <w:numPr>
          <w:ilvl w:val="0"/>
          <w:numId w:val="2"/>
        </w:numPr>
        <w:spacing w:after="120"/>
        <w:ind w:firstLineChars="0"/>
        <w:rPr>
          <w:rFonts w:ascii="宋体" w:hAnsi="宋体"/>
        </w:rPr>
      </w:pPr>
      <w:r>
        <w:rPr>
          <w:rFonts w:hint="eastAsia"/>
        </w:rPr>
        <w:t>公司有关部门研究、决定涉及信息披露事项时，应通知董事会秘书参加会议，并向其提供信息披露所需要的资料。凡可能属于纳入管理信息范围的任何信息，公司有关部门及人员应事先及时征求董事会秘书的意见，以决定是否需要及时披露</w:t>
      </w:r>
      <w:r>
        <w:rPr>
          <w:rFonts w:hint="eastAsia"/>
          <w:lang w:eastAsia="zh-CN"/>
        </w:rPr>
        <w:t>或者</w:t>
      </w:r>
      <w:r>
        <w:rPr>
          <w:rFonts w:hint="eastAsia"/>
        </w:rPr>
        <w:t>是否可以披露。未征求公司董事会秘书的意见之前，公司有关部门及人员不得擅自传播和泄露公司的纳入管理信息。</w:t>
      </w:r>
    </w:p>
    <w:p w14:paraId="079CC649">
      <w:pPr>
        <w:pStyle w:val="12"/>
        <w:numPr>
          <w:ilvl w:val="0"/>
          <w:numId w:val="2"/>
        </w:numPr>
        <w:spacing w:after="120"/>
        <w:ind w:firstLineChars="0"/>
      </w:pPr>
      <w:r>
        <w:t>公司通过业绩说明会、分析师会议、路演、接受投资者调研等形式就公司的经营情况、财务状况及其他事件与任何机构和个人进行沟通的，由公司董事会秘书负责组织有关活动，并不得提供内幕信息。</w:t>
      </w:r>
    </w:p>
    <w:p w14:paraId="3CA11DE2">
      <w:pPr>
        <w:pStyle w:val="12"/>
        <w:numPr>
          <w:ilvl w:val="0"/>
          <w:numId w:val="2"/>
        </w:numPr>
        <w:spacing w:before="240" w:after="120"/>
        <w:ind w:firstLineChars="0"/>
      </w:pPr>
      <w:r>
        <w:rPr>
          <w:rFonts w:hint="eastAsia"/>
        </w:rPr>
        <w:t>董事会秘书作为公司与深圳证券交易所的指定联络人，必须保证交易所可以随时与其联系。</w:t>
      </w:r>
    </w:p>
    <w:p w14:paraId="7893D9B1">
      <w:pPr>
        <w:pStyle w:val="12"/>
        <w:numPr>
          <w:ilvl w:val="0"/>
          <w:numId w:val="2"/>
        </w:numPr>
        <w:spacing w:before="240" w:after="120"/>
        <w:ind w:firstLineChars="0"/>
      </w:pPr>
      <w:r>
        <w:rPr>
          <w:rFonts w:hint="eastAsia"/>
        </w:rPr>
        <w:t>公司应当对外公开披露的信息的知情部门和人员应当及时向董事会秘书通告有关信息并提供相关资料。</w:t>
      </w:r>
    </w:p>
    <w:p w14:paraId="1E8D1E93">
      <w:pPr>
        <w:pStyle w:val="12"/>
        <w:numPr>
          <w:ilvl w:val="0"/>
          <w:numId w:val="2"/>
        </w:numPr>
        <w:spacing w:before="240" w:after="120"/>
        <w:ind w:firstLineChars="0"/>
      </w:pPr>
      <w:r>
        <w:rPr>
          <w:rFonts w:hint="eastAsia"/>
        </w:rPr>
        <w:t>公司各部门在作出任何重大决定之前，应当从信息披露角度征询董事会秘书的意见。</w:t>
      </w:r>
    </w:p>
    <w:p w14:paraId="47F72A7F">
      <w:pPr>
        <w:pStyle w:val="12"/>
        <w:numPr>
          <w:ilvl w:val="0"/>
          <w:numId w:val="2"/>
        </w:numPr>
        <w:spacing w:before="240" w:after="120"/>
        <w:ind w:firstLineChars="0"/>
      </w:pPr>
      <w:r>
        <w:rPr>
          <w:rFonts w:hint="eastAsia"/>
        </w:rPr>
        <w:t>在可能涉及公司纳入管理信息的情况下，公司任何人接受媒体采访均必须先取得董事会同意</w:t>
      </w:r>
      <w:r>
        <w:rPr>
          <w:rFonts w:hint="eastAsia"/>
          <w:lang w:eastAsia="zh-CN"/>
        </w:rPr>
        <w:t>或者</w:t>
      </w:r>
      <w:r>
        <w:rPr>
          <w:rFonts w:hint="eastAsia"/>
        </w:rPr>
        <w:t>征求董事会秘书的意见，并将采访内容要点提前提交董事会秘书。未履行前述手续，不得对媒体发表任何关于公司的实质性信息。</w:t>
      </w:r>
    </w:p>
    <w:p w14:paraId="5C8D80BB">
      <w:pPr>
        <w:pStyle w:val="12"/>
        <w:numPr>
          <w:ilvl w:val="0"/>
          <w:numId w:val="2"/>
        </w:numPr>
        <w:spacing w:before="240" w:after="120"/>
        <w:ind w:firstLineChars="0"/>
      </w:pPr>
      <w:r>
        <w:rPr>
          <w:rFonts w:hint="eastAsia"/>
        </w:rPr>
        <w:t>公司的宣传计划、营销计划等任何公开计划必须至少在实施前五个工作日通知董事会秘书，并依据董事会秘书的意见调整</w:t>
      </w:r>
      <w:r>
        <w:rPr>
          <w:rFonts w:hint="eastAsia"/>
          <w:lang w:eastAsia="zh-CN"/>
        </w:rPr>
        <w:t>或者</w:t>
      </w:r>
      <w:r>
        <w:rPr>
          <w:rFonts w:hint="eastAsia"/>
        </w:rPr>
        <w:t>修改原计划。</w:t>
      </w:r>
    </w:p>
    <w:p w14:paraId="3E655D23">
      <w:pPr>
        <w:pStyle w:val="12"/>
        <w:numPr>
          <w:ilvl w:val="0"/>
          <w:numId w:val="2"/>
        </w:numPr>
        <w:spacing w:after="120"/>
        <w:ind w:firstLineChars="0"/>
      </w:pPr>
      <w:r>
        <w:t>公司信息的公告披露程序：</w:t>
      </w:r>
    </w:p>
    <w:p w14:paraId="7D1F1775">
      <w:pPr>
        <w:spacing w:after="120"/>
        <w:ind w:firstLine="480"/>
      </w:pPr>
      <w:r>
        <w:t>（一）公司公告信息应由董事会秘书进行合规性审查后，由董事长签发；</w:t>
      </w:r>
    </w:p>
    <w:p w14:paraId="463F4260">
      <w:pPr>
        <w:spacing w:after="120"/>
        <w:ind w:firstLine="480"/>
      </w:pPr>
      <w:r>
        <w:t>（二）签发后，由公司证券部通过深圳证券交易所网上业务专区</w:t>
      </w:r>
      <w:r>
        <w:rPr>
          <w:rFonts w:hint="eastAsia"/>
          <w:lang w:eastAsia="zh-CN"/>
        </w:rPr>
        <w:t>或者</w:t>
      </w:r>
      <w:r>
        <w:t>交易所规定的其他方式提出公告申请，并提交信息披露文件</w:t>
      </w:r>
      <w:r>
        <w:rPr>
          <w:rFonts w:hint="eastAsia"/>
        </w:rPr>
        <w:t>，</w:t>
      </w:r>
      <w:r>
        <w:t>在公司指定的媒体公告披露。</w:t>
      </w:r>
    </w:p>
    <w:p w14:paraId="3D4A9A80">
      <w:pPr>
        <w:pStyle w:val="2"/>
        <w:numPr>
          <w:ilvl w:val="0"/>
          <w:numId w:val="1"/>
        </w:numPr>
        <w:spacing w:before="721" w:beforeLines="200" w:after="541" w:afterLines="150" w:line="240" w:lineRule="auto"/>
        <w:ind w:firstLine="0" w:firstLineChars="0"/>
      </w:pPr>
      <w:r>
        <w:t>信息披露事务管理部门及其负责人在信息披露中的职责</w:t>
      </w:r>
    </w:p>
    <w:p w14:paraId="44CDF855">
      <w:pPr>
        <w:pStyle w:val="12"/>
        <w:numPr>
          <w:ilvl w:val="0"/>
          <w:numId w:val="2"/>
        </w:numPr>
        <w:spacing w:after="120"/>
        <w:ind w:firstLineChars="0"/>
      </w:pPr>
      <w:r>
        <w:t>公司董事长为公司信息披露的第一责任人，董事会秘书为直接责任人，证券事务代表协助董事会秘书履行职责。公司证券部为负责公司信息披露事务管理和执行的部门。</w:t>
      </w:r>
    </w:p>
    <w:p w14:paraId="3A76A8BC">
      <w:pPr>
        <w:pStyle w:val="12"/>
        <w:numPr>
          <w:ilvl w:val="0"/>
          <w:numId w:val="2"/>
        </w:numPr>
        <w:spacing w:after="120"/>
        <w:ind w:firstLineChars="0"/>
      </w:pPr>
      <w:r>
        <w:rPr>
          <w:rFonts w:hint="eastAsia"/>
        </w:rPr>
        <w:t>公司董事会秘书在信息披露事务管理中的职责为</w:t>
      </w:r>
      <w:r>
        <w:t>：</w:t>
      </w:r>
    </w:p>
    <w:p w14:paraId="0194CC58">
      <w:pPr>
        <w:spacing w:after="120"/>
        <w:ind w:firstLine="480"/>
        <w:rPr>
          <w:rFonts w:hint="eastAsia"/>
        </w:rPr>
      </w:pPr>
      <w:r>
        <w:rPr>
          <w:rFonts w:hint="eastAsia"/>
        </w:rPr>
        <w:t>（一）负责组织和协调公司信息披露事务，汇集公司应予披露的信息并报告董事会，持续关注媒体对公司的报道并主动求证报道的真实情况；</w:t>
      </w:r>
    </w:p>
    <w:p w14:paraId="56B88B2C">
      <w:pPr>
        <w:spacing w:after="120"/>
        <w:ind w:firstLine="480"/>
        <w:rPr>
          <w:rFonts w:hint="eastAsia"/>
        </w:rPr>
      </w:pPr>
      <w:r>
        <w:rPr>
          <w:rFonts w:hint="eastAsia"/>
        </w:rPr>
        <w:t>（二）作为公司与深圳证券交易所指定联络人，负责准备和提交深圳证券交易所要求的文件，组织完成监管机构布置的任务；负责办理公司信息对外公布等相关事宜；</w:t>
      </w:r>
    </w:p>
    <w:p w14:paraId="3DCD0DEF">
      <w:pPr>
        <w:spacing w:after="120"/>
        <w:ind w:firstLine="480"/>
        <w:rPr>
          <w:rFonts w:hint="eastAsia"/>
        </w:rPr>
      </w:pPr>
      <w:r>
        <w:rPr>
          <w:rFonts w:hint="eastAsia"/>
        </w:rPr>
        <w:t>（三）准备和提交董事会和股东会的报告和文件；</w:t>
      </w:r>
    </w:p>
    <w:p w14:paraId="154A8486">
      <w:pPr>
        <w:spacing w:after="120"/>
        <w:ind w:firstLine="480"/>
        <w:rPr>
          <w:rFonts w:hint="eastAsia"/>
        </w:rPr>
      </w:pPr>
      <w:r>
        <w:rPr>
          <w:rFonts w:hint="eastAsia"/>
        </w:rPr>
        <w:t>（四）协调和组织公司信息披露事项，包括建立信息披露制度、接待来访、回答咨询、联系股东、向投资者提供公司公开披露的资料、促使公司及时、合法、真实和完整地进行信息披露；</w:t>
      </w:r>
    </w:p>
    <w:p w14:paraId="46D31C4A">
      <w:pPr>
        <w:spacing w:after="120"/>
        <w:ind w:firstLine="480"/>
        <w:rPr>
          <w:rFonts w:hint="eastAsia"/>
        </w:rPr>
      </w:pPr>
      <w:r>
        <w:rPr>
          <w:rFonts w:hint="eastAsia"/>
        </w:rPr>
        <w:t>（五）参加股东会、董事会会议和经营层相关会议，了解公司的财务和经营情况，查阅涉及信息披露事宜的所有文件。公司有关部门应当向董事会秘书提供信息披露所需要的资料和信息。公司在作出重大决定之前，应当从信息披露角度征询董事会秘书的意见；</w:t>
      </w:r>
    </w:p>
    <w:p w14:paraId="21423419">
      <w:pPr>
        <w:spacing w:after="120"/>
        <w:ind w:firstLine="480"/>
        <w:rPr>
          <w:rFonts w:hint="eastAsia"/>
        </w:rPr>
      </w:pPr>
      <w:r>
        <w:rPr>
          <w:rFonts w:hint="eastAsia"/>
        </w:rPr>
        <w:t>（六）负责信息的保密工作，制定保密措施。内幕信息泄露时，及时采取补救措施加以解释和澄清，并报告深圳证券交易所和中国证监会。</w:t>
      </w:r>
    </w:p>
    <w:p w14:paraId="5C51C733">
      <w:pPr>
        <w:spacing w:after="120"/>
        <w:ind w:firstLine="480"/>
      </w:pPr>
      <w:r>
        <w:rPr>
          <w:rFonts w:hint="eastAsia"/>
        </w:rPr>
        <w:t>（七）深圳证券交易所要求履行的其它职责</w:t>
      </w:r>
      <w:r>
        <w:t>。</w:t>
      </w:r>
    </w:p>
    <w:p w14:paraId="4180D2AE">
      <w:pPr>
        <w:pStyle w:val="12"/>
        <w:numPr>
          <w:ilvl w:val="0"/>
          <w:numId w:val="2"/>
        </w:numPr>
        <w:spacing w:after="120"/>
        <w:ind w:firstLineChars="0"/>
      </w:pPr>
      <w:r>
        <w:t>公司应当为董事会秘书履行职责提供便利条件，财务总监应当配合董事会秘书在财务信息披露方面的相关工作。</w:t>
      </w:r>
    </w:p>
    <w:p w14:paraId="0C7CAF36">
      <w:pPr>
        <w:pStyle w:val="12"/>
        <w:numPr>
          <w:ilvl w:val="0"/>
          <w:numId w:val="2"/>
        </w:numPr>
        <w:spacing w:after="120"/>
        <w:ind w:firstLineChars="0"/>
      </w:pPr>
      <w:r>
        <w:t>证券部作为日常信息披露事务的管理和执行部门，经董事会秘书授权，进行信息的汇总和规范化准备。</w:t>
      </w:r>
    </w:p>
    <w:p w14:paraId="3E69D86B">
      <w:pPr>
        <w:pStyle w:val="12"/>
        <w:numPr>
          <w:ilvl w:val="0"/>
          <w:numId w:val="2"/>
        </w:numPr>
        <w:spacing w:after="120"/>
        <w:ind w:firstLineChars="0"/>
      </w:pPr>
      <w:r>
        <w:t>公司应建立重大信息内部报告制度，以明确公司各职能部门、分公司和各控股子公司的内部信息披露报告职责。</w:t>
      </w:r>
    </w:p>
    <w:p w14:paraId="678B7E11">
      <w:pPr>
        <w:pStyle w:val="2"/>
        <w:numPr>
          <w:ilvl w:val="0"/>
          <w:numId w:val="1"/>
        </w:numPr>
        <w:spacing w:before="721" w:beforeLines="200" w:after="541" w:afterLines="150" w:line="240" w:lineRule="auto"/>
        <w:ind w:firstLine="0" w:firstLineChars="0"/>
      </w:pPr>
      <w:r>
        <w:t>董事和董事会及高级管理人员等的报告、审议和披露职责</w:t>
      </w:r>
    </w:p>
    <w:p w14:paraId="581C735B">
      <w:pPr>
        <w:pStyle w:val="12"/>
        <w:numPr>
          <w:ilvl w:val="0"/>
          <w:numId w:val="2"/>
        </w:numPr>
        <w:spacing w:after="120"/>
        <w:ind w:firstLineChars="0"/>
      </w:pPr>
      <w:r>
        <w:rPr>
          <w:rFonts w:hint="eastAsia"/>
        </w:rPr>
        <w:t>公司董事、高级管理人员应当勤勉尽责，关注信息披露文件的编制情况，保证定期报告、临时报告在规定期限内披露，配合公司及其他信息披露义务人履行信息披露义务</w:t>
      </w:r>
      <w:r>
        <w:t>。</w:t>
      </w:r>
    </w:p>
    <w:p w14:paraId="7AD307FA">
      <w:pPr>
        <w:pStyle w:val="12"/>
        <w:numPr>
          <w:ilvl w:val="0"/>
          <w:numId w:val="2"/>
        </w:numPr>
        <w:spacing w:after="120"/>
        <w:ind w:firstLineChars="0"/>
      </w:pPr>
      <w:r>
        <w:t>董事应当了解并持续关注公司生产经营情况、财务状况和公司已经发生的或者可能发生的重大事件及其影响，主动调查、获取决策所需要的资料。</w:t>
      </w:r>
    </w:p>
    <w:p w14:paraId="2B7A093E">
      <w:pPr>
        <w:pStyle w:val="12"/>
        <w:numPr>
          <w:ilvl w:val="0"/>
          <w:numId w:val="2"/>
        </w:numPr>
        <w:spacing w:after="120"/>
        <w:ind w:firstLineChars="0"/>
      </w:pPr>
      <w:r>
        <w:rPr>
          <w:rFonts w:hint="eastAsia"/>
        </w:rPr>
        <w:t>审计委员会应当关注公司信息披露情况，发现信息披露存在违法违规问题的，应当进行调查并提出处理建议</w:t>
      </w:r>
      <w:r>
        <w:t>。</w:t>
      </w:r>
    </w:p>
    <w:p w14:paraId="6060E88C">
      <w:pPr>
        <w:pStyle w:val="12"/>
        <w:numPr>
          <w:ilvl w:val="0"/>
          <w:numId w:val="2"/>
        </w:numPr>
        <w:spacing w:after="120"/>
        <w:ind w:firstLineChars="0"/>
      </w:pPr>
      <w:r>
        <w:t>高级管理人员应当及时向董事会报告有关公司经营或者财务方面出现的重大事件、已披露的事件的进展或者变化情况及其他相关信息。</w:t>
      </w:r>
    </w:p>
    <w:p w14:paraId="2B501C16">
      <w:pPr>
        <w:pStyle w:val="2"/>
        <w:numPr>
          <w:ilvl w:val="0"/>
          <w:numId w:val="1"/>
        </w:numPr>
        <w:spacing w:before="721" w:beforeLines="200" w:after="541" w:afterLines="150" w:line="240" w:lineRule="auto"/>
        <w:ind w:firstLine="0" w:firstLineChars="0"/>
      </w:pPr>
      <w:r>
        <w:t>信息披露的保密措施</w:t>
      </w:r>
    </w:p>
    <w:p w14:paraId="7371BA10">
      <w:pPr>
        <w:pStyle w:val="12"/>
        <w:numPr>
          <w:ilvl w:val="0"/>
          <w:numId w:val="2"/>
        </w:numPr>
        <w:spacing w:after="120"/>
        <w:ind w:firstLineChars="0"/>
      </w:pPr>
      <w:r>
        <w:rPr>
          <w:rFonts w:hint="eastAsia"/>
        </w:rPr>
        <w:t>公司董事和高级管理人员及其他因工作关系接触到应披露信息的工作人员、专业机构均为公司内幕信息的知情人，在信息披露前负有保密义务</w:t>
      </w:r>
      <w:r>
        <w:t>。</w:t>
      </w:r>
    </w:p>
    <w:p w14:paraId="4425A132">
      <w:pPr>
        <w:pStyle w:val="12"/>
        <w:numPr>
          <w:ilvl w:val="0"/>
          <w:numId w:val="2"/>
        </w:numPr>
        <w:spacing w:after="120"/>
        <w:ind w:firstLineChars="0"/>
      </w:pPr>
      <w:r>
        <w:t>公司董事会应采取必要的措施，在信息公开披露之前，将信息知情者控制在最小范围内。内幕知情人不得利用所获取的内幕信息买卖或者建议他人买卖公司证券及其衍生品种，不得在投资价值分析报告、研究报告等文件中使用内幕信息。</w:t>
      </w:r>
    </w:p>
    <w:p w14:paraId="3DEC73FC">
      <w:pPr>
        <w:pStyle w:val="12"/>
        <w:numPr>
          <w:ilvl w:val="0"/>
          <w:numId w:val="2"/>
        </w:numPr>
        <w:spacing w:after="120"/>
        <w:ind w:firstLineChars="0"/>
      </w:pPr>
      <w:r>
        <w:t>当董事会得知，有关尚待披露的信息难以保密，或者已经泄露，或者公司股票价格已经因此明显发生异常波动时，公司应当及时披露相关事项的现状、可能影响事件进展的风险因素。</w:t>
      </w:r>
    </w:p>
    <w:p w14:paraId="34D1FB63">
      <w:pPr>
        <w:pStyle w:val="12"/>
        <w:numPr>
          <w:ilvl w:val="0"/>
          <w:numId w:val="2"/>
        </w:numPr>
        <w:spacing w:after="120"/>
        <w:ind w:firstLineChars="0"/>
      </w:pPr>
      <w:r>
        <w:t>在公司互联网、公司内部局域网上</w:t>
      </w:r>
      <w:r>
        <w:rPr>
          <w:rFonts w:hint="eastAsia"/>
          <w:lang w:eastAsia="zh-CN"/>
        </w:rPr>
        <w:t>或者</w:t>
      </w:r>
      <w:r>
        <w:t>其他内部刊物上有不适合发布的信息时，董事会秘书有权制止。</w:t>
      </w:r>
    </w:p>
    <w:p w14:paraId="58875163">
      <w:pPr>
        <w:pStyle w:val="12"/>
        <w:numPr>
          <w:ilvl w:val="0"/>
          <w:numId w:val="2"/>
        </w:numPr>
        <w:spacing w:before="240" w:after="120"/>
        <w:ind w:firstLineChars="0"/>
      </w:pPr>
      <w:r>
        <w:rPr>
          <w:rFonts w:hint="eastAsia"/>
        </w:rPr>
        <w:t>在出现下列情形时，公司应及时向深交所报备内幕信息知情人：</w:t>
      </w:r>
    </w:p>
    <w:p w14:paraId="65B021BA">
      <w:pPr>
        <w:spacing w:after="120"/>
        <w:ind w:firstLine="480"/>
        <w:rPr>
          <w:bCs/>
          <w:szCs w:val="21"/>
        </w:rPr>
      </w:pPr>
      <w:r>
        <w:rPr>
          <w:rFonts w:hint="eastAsia"/>
          <w:bCs/>
          <w:szCs w:val="21"/>
        </w:rPr>
        <w:t>（一）</w:t>
      </w:r>
      <w:r>
        <w:rPr>
          <w:rFonts w:hint="eastAsia"/>
          <w:szCs w:val="21"/>
        </w:rPr>
        <w:t>重大资产</w:t>
      </w:r>
      <w:r>
        <w:rPr>
          <w:rFonts w:hint="eastAsia"/>
          <w:bCs/>
          <w:szCs w:val="21"/>
        </w:rPr>
        <w:t>重组；</w:t>
      </w:r>
    </w:p>
    <w:p w14:paraId="763ECE55">
      <w:pPr>
        <w:spacing w:after="120"/>
        <w:ind w:firstLine="480"/>
        <w:rPr>
          <w:bCs/>
          <w:szCs w:val="21"/>
        </w:rPr>
      </w:pPr>
      <w:r>
        <w:rPr>
          <w:rFonts w:hint="eastAsia"/>
          <w:bCs/>
          <w:szCs w:val="21"/>
        </w:rPr>
        <w:t>（二）</w:t>
      </w:r>
      <w:r>
        <w:rPr>
          <w:rFonts w:hint="eastAsia"/>
          <w:szCs w:val="21"/>
        </w:rPr>
        <w:t>高比例送转股份；</w:t>
      </w:r>
    </w:p>
    <w:p w14:paraId="0AA76D37">
      <w:pPr>
        <w:spacing w:after="120"/>
        <w:ind w:firstLine="480"/>
        <w:rPr>
          <w:szCs w:val="21"/>
        </w:rPr>
      </w:pPr>
      <w:r>
        <w:rPr>
          <w:rFonts w:hint="eastAsia"/>
          <w:bCs/>
          <w:szCs w:val="21"/>
        </w:rPr>
        <w:t>（三）</w:t>
      </w:r>
      <w:r>
        <w:rPr>
          <w:rFonts w:hint="eastAsia"/>
          <w:szCs w:val="21"/>
        </w:rPr>
        <w:t>导致实际控制人或者第一大股东发生变更的权益变动；</w:t>
      </w:r>
    </w:p>
    <w:p w14:paraId="62522ECC">
      <w:pPr>
        <w:spacing w:after="120"/>
        <w:ind w:firstLine="480"/>
        <w:rPr>
          <w:bCs/>
          <w:szCs w:val="21"/>
        </w:rPr>
      </w:pPr>
      <w:r>
        <w:rPr>
          <w:rFonts w:hint="eastAsia"/>
          <w:bCs/>
          <w:szCs w:val="21"/>
        </w:rPr>
        <w:t>（四）</w:t>
      </w:r>
      <w:r>
        <w:rPr>
          <w:rFonts w:hint="eastAsia"/>
          <w:szCs w:val="21"/>
        </w:rPr>
        <w:t>要约</w:t>
      </w:r>
      <w:r>
        <w:rPr>
          <w:rFonts w:hint="eastAsia"/>
          <w:bCs/>
          <w:szCs w:val="21"/>
        </w:rPr>
        <w:t>收购；</w:t>
      </w:r>
    </w:p>
    <w:p w14:paraId="2F5316E6">
      <w:pPr>
        <w:spacing w:after="120"/>
        <w:ind w:firstLine="480"/>
        <w:rPr>
          <w:bCs/>
          <w:szCs w:val="21"/>
        </w:rPr>
      </w:pPr>
      <w:r>
        <w:rPr>
          <w:rFonts w:hint="eastAsia"/>
          <w:bCs/>
          <w:szCs w:val="21"/>
        </w:rPr>
        <w:t>（五）证券发行；</w:t>
      </w:r>
    </w:p>
    <w:p w14:paraId="4F63A33D">
      <w:pPr>
        <w:spacing w:after="120"/>
        <w:ind w:firstLine="480"/>
        <w:rPr>
          <w:bCs/>
          <w:szCs w:val="21"/>
        </w:rPr>
      </w:pPr>
      <w:r>
        <w:rPr>
          <w:rFonts w:hint="eastAsia"/>
          <w:bCs/>
          <w:szCs w:val="21"/>
        </w:rPr>
        <w:t>（六）合并、分立、分拆上市；</w:t>
      </w:r>
    </w:p>
    <w:p w14:paraId="2C48021E">
      <w:pPr>
        <w:spacing w:after="120"/>
        <w:ind w:firstLine="480"/>
        <w:rPr>
          <w:bCs/>
          <w:szCs w:val="21"/>
        </w:rPr>
      </w:pPr>
      <w:r>
        <w:rPr>
          <w:rFonts w:hint="eastAsia"/>
          <w:bCs/>
          <w:szCs w:val="21"/>
        </w:rPr>
        <w:t>（七）股份回购；</w:t>
      </w:r>
    </w:p>
    <w:p w14:paraId="6200421E">
      <w:pPr>
        <w:spacing w:after="120"/>
        <w:ind w:firstLine="480"/>
        <w:rPr>
          <w:bCs/>
          <w:szCs w:val="21"/>
        </w:rPr>
      </w:pPr>
      <w:r>
        <w:rPr>
          <w:rFonts w:hint="eastAsia"/>
          <w:bCs/>
          <w:szCs w:val="21"/>
        </w:rPr>
        <w:t>（八）</w:t>
      </w:r>
      <w:r>
        <w:rPr>
          <w:rFonts w:hint="eastAsia"/>
          <w:szCs w:val="21"/>
        </w:rPr>
        <w:t>年度报告、半年度报告；</w:t>
      </w:r>
    </w:p>
    <w:p w14:paraId="04A6C3F2">
      <w:pPr>
        <w:spacing w:after="120"/>
        <w:ind w:firstLine="480"/>
        <w:rPr>
          <w:bCs/>
          <w:szCs w:val="21"/>
        </w:rPr>
      </w:pPr>
      <w:r>
        <w:rPr>
          <w:rFonts w:hint="eastAsia"/>
          <w:bCs/>
          <w:szCs w:val="21"/>
        </w:rPr>
        <w:t>（九）股权激励草案</w:t>
      </w:r>
      <w:r>
        <w:rPr>
          <w:rFonts w:hint="eastAsia"/>
          <w:szCs w:val="21"/>
        </w:rPr>
        <w:t>、员工持股计划；</w:t>
      </w:r>
    </w:p>
    <w:p w14:paraId="32BB0AB7">
      <w:pPr>
        <w:spacing w:after="120"/>
        <w:ind w:firstLine="480"/>
        <w:rPr>
          <w:szCs w:val="21"/>
        </w:rPr>
      </w:pPr>
      <w:r>
        <w:rPr>
          <w:rFonts w:hint="eastAsia"/>
          <w:bCs/>
          <w:szCs w:val="21"/>
        </w:rPr>
        <w:t>（十）</w:t>
      </w:r>
      <w:r>
        <w:rPr>
          <w:rFonts w:hint="eastAsia"/>
          <w:szCs w:val="21"/>
        </w:rPr>
        <w:t>中国证监会或者深交所要求的其他可能对公司股票及其衍生品种的交易价格有重大影响的事项。</w:t>
      </w:r>
    </w:p>
    <w:p w14:paraId="2C5E46ED">
      <w:pPr>
        <w:pStyle w:val="2"/>
        <w:numPr>
          <w:ilvl w:val="0"/>
          <w:numId w:val="1"/>
        </w:numPr>
        <w:spacing w:before="721" w:beforeLines="200" w:after="541" w:afterLines="150" w:line="240" w:lineRule="auto"/>
        <w:ind w:firstLine="0" w:firstLineChars="0"/>
      </w:pPr>
      <w:r>
        <w:t>信息披露相关文件、资料的档案管理</w:t>
      </w:r>
    </w:p>
    <w:p w14:paraId="1B887837">
      <w:pPr>
        <w:pStyle w:val="12"/>
        <w:numPr>
          <w:ilvl w:val="0"/>
          <w:numId w:val="2"/>
        </w:numPr>
        <w:spacing w:after="120"/>
        <w:ind w:firstLineChars="0"/>
      </w:pPr>
      <w:r>
        <w:rPr>
          <w:rFonts w:hint="eastAsia"/>
        </w:rPr>
        <w:t>公司对外披露的文件要设立专卷存档保管。</w:t>
      </w:r>
    </w:p>
    <w:p w14:paraId="2AC3EC4E">
      <w:pPr>
        <w:pStyle w:val="12"/>
        <w:numPr>
          <w:ilvl w:val="0"/>
          <w:numId w:val="2"/>
        </w:numPr>
        <w:spacing w:after="120"/>
        <w:ind w:firstLineChars="0"/>
      </w:pPr>
      <w:r>
        <w:rPr>
          <w:rFonts w:hint="eastAsia"/>
        </w:rPr>
        <w:t>公司对外披露的文件保存期限至少为十年。</w:t>
      </w:r>
    </w:p>
    <w:p w14:paraId="5B27B444">
      <w:pPr>
        <w:pStyle w:val="12"/>
        <w:numPr>
          <w:ilvl w:val="0"/>
          <w:numId w:val="2"/>
        </w:numPr>
        <w:spacing w:after="120"/>
        <w:ind w:firstLineChars="0"/>
      </w:pPr>
      <w:r>
        <w:rPr>
          <w:rFonts w:hint="eastAsia"/>
        </w:rPr>
        <w:t>公司董事会秘书负责管理对外信息披露的文件档案。公司董事、高级管理人员履行信息披露职责情况应由公司董事会秘书</w:t>
      </w:r>
      <w:r>
        <w:rPr>
          <w:rFonts w:hint="eastAsia"/>
          <w:lang w:eastAsia="zh-CN"/>
        </w:rPr>
        <w:t>或者</w:t>
      </w:r>
      <w:r>
        <w:rPr>
          <w:rFonts w:hint="eastAsia"/>
        </w:rPr>
        <w:t>由其指定的记录员负责记录,并作为公司档案由董事会秘书负责保管。</w:t>
      </w:r>
    </w:p>
    <w:p w14:paraId="7830AC62">
      <w:pPr>
        <w:pStyle w:val="2"/>
        <w:numPr>
          <w:ilvl w:val="0"/>
          <w:numId w:val="1"/>
        </w:numPr>
        <w:spacing w:before="721" w:beforeLines="200" w:after="541" w:afterLines="150" w:line="240" w:lineRule="auto"/>
        <w:ind w:firstLine="0" w:firstLineChars="0"/>
      </w:pPr>
      <w:r>
        <w:t>财务管理和会计核算的内部控制及监督机制</w:t>
      </w:r>
    </w:p>
    <w:p w14:paraId="3FF707A2">
      <w:pPr>
        <w:pStyle w:val="12"/>
        <w:numPr>
          <w:ilvl w:val="0"/>
          <w:numId w:val="2"/>
        </w:numPr>
        <w:spacing w:after="120"/>
        <w:ind w:firstLineChars="0"/>
      </w:pPr>
      <w:r>
        <w:t>公司财务信息披露前，应执行公司</w:t>
      </w:r>
      <w:r>
        <w:rPr>
          <w:rFonts w:hint="eastAsia"/>
        </w:rPr>
        <w:t>《财务管理制度》</w:t>
      </w:r>
      <w:r>
        <w:t>，确保财务信息的真实、准确，防止财务信息的泄漏。</w:t>
      </w:r>
    </w:p>
    <w:p w14:paraId="4E0EFD2C">
      <w:pPr>
        <w:pStyle w:val="12"/>
        <w:numPr>
          <w:ilvl w:val="0"/>
          <w:numId w:val="2"/>
        </w:numPr>
        <w:spacing w:after="120"/>
        <w:ind w:firstLineChars="0"/>
      </w:pPr>
      <w:r>
        <w:t>公司实行内部审计制度。公司审计部对公司财务管理和会计核算内部控制制度的建立和执行情况进行持续监督，并根据业务属性及《</w:t>
      </w:r>
      <w:r>
        <w:rPr>
          <w:rFonts w:hint="eastAsia"/>
        </w:rPr>
        <w:t>审计部工作制度</w:t>
      </w:r>
      <w:r>
        <w:t>》定期</w:t>
      </w:r>
      <w:r>
        <w:rPr>
          <w:rFonts w:hint="eastAsia"/>
          <w:lang w:eastAsia="zh-CN"/>
        </w:rPr>
        <w:t>或者</w:t>
      </w:r>
      <w:r>
        <w:t>不定期向审计委员会报告监督情况。审计部的监督职责、监督范围和监督流程按公司《</w:t>
      </w:r>
      <w:r>
        <w:rPr>
          <w:rFonts w:hint="eastAsia"/>
        </w:rPr>
        <w:t>审计部工作制度</w:t>
      </w:r>
      <w:r>
        <w:t>》规定执行。</w:t>
      </w:r>
    </w:p>
    <w:p w14:paraId="2514EACB">
      <w:pPr>
        <w:pStyle w:val="2"/>
        <w:numPr>
          <w:ilvl w:val="0"/>
          <w:numId w:val="1"/>
        </w:numPr>
        <w:spacing w:before="721" w:beforeLines="200" w:after="541" w:afterLines="150" w:line="240" w:lineRule="auto"/>
        <w:ind w:firstLine="0" w:firstLineChars="0"/>
      </w:pPr>
      <w:r>
        <w:rPr>
          <w:rFonts w:hint="eastAsia"/>
        </w:rPr>
        <w:t>信息披露的暂缓与豁免</w:t>
      </w:r>
    </w:p>
    <w:p w14:paraId="0F3911F9">
      <w:pPr>
        <w:pStyle w:val="12"/>
        <w:numPr>
          <w:ilvl w:val="0"/>
          <w:numId w:val="2"/>
        </w:numPr>
        <w:spacing w:after="120"/>
        <w:ind w:firstLineChars="0"/>
      </w:pPr>
      <w:r>
        <w:rPr>
          <w:rFonts w:hint="eastAsia"/>
        </w:rPr>
        <w:t>公司及相关信息披露义务人有确实充分的证据证明拟披露的信息涉及国家秘密或者其他因披露可能导致违反国家保密规定、管理要求的事项，应当豁免披露。</w:t>
      </w:r>
    </w:p>
    <w:p w14:paraId="7A1FEA0F">
      <w:pPr>
        <w:pStyle w:val="12"/>
        <w:keepNext w:val="0"/>
        <w:keepLines w:val="0"/>
        <w:pageBreakBefore w:val="0"/>
        <w:widowControl/>
        <w:numPr>
          <w:ilvl w:val="0"/>
          <w:numId w:val="0"/>
        </w:numPr>
        <w:kinsoku/>
        <w:wordWrap/>
        <w:overflowPunct/>
        <w:topLinePunct w:val="0"/>
        <w:autoSpaceDE/>
        <w:autoSpaceDN/>
        <w:bidi w:val="0"/>
        <w:adjustRightInd w:val="0"/>
        <w:snapToGrid w:val="0"/>
        <w:spacing w:after="120"/>
        <w:ind w:left="0" w:leftChars="0" w:firstLine="480" w:firstLineChars="200"/>
        <w:textAlignment w:val="auto"/>
      </w:pPr>
      <w:r>
        <w:rPr>
          <w:rFonts w:hint="eastAsia"/>
        </w:rPr>
        <w:t>公司及相关信息披露义务人应当遵守国家保密法律制度，履行保密义务，不得通过信息披露、投资者互动问答、新闻发布、接受采访等任何形式泄露国家秘密，不得以信息涉密为名进行业务宣传。</w:t>
      </w:r>
    </w:p>
    <w:p w14:paraId="51CF03EB">
      <w:pPr>
        <w:pStyle w:val="12"/>
        <w:numPr>
          <w:ilvl w:val="0"/>
          <w:numId w:val="2"/>
        </w:numPr>
        <w:spacing w:after="120"/>
        <w:ind w:firstLineChars="0"/>
      </w:pPr>
      <w:r>
        <w:rPr>
          <w:rFonts w:hint="eastAsia"/>
        </w:rPr>
        <w:t>公司及相关信息披露义务人拟披露的信息涉及商业秘密或者保密商务信息（以下统称商业秘密），符合下列情形之一，且尚未公开或者泄露的，可以暂缓或者豁免披露：</w:t>
      </w:r>
    </w:p>
    <w:p w14:paraId="464D8BE0">
      <w:pPr>
        <w:pStyle w:val="12"/>
        <w:numPr>
          <w:ilvl w:val="0"/>
          <w:numId w:val="0"/>
        </w:numPr>
        <w:spacing w:after="120"/>
        <w:ind w:left="420" w:leftChars="0"/>
        <w:rPr>
          <w:rFonts w:hint="eastAsia"/>
        </w:rPr>
      </w:pPr>
      <w:r>
        <w:rPr>
          <w:rFonts w:hint="eastAsia"/>
        </w:rPr>
        <w:t>（一）属于核心技术信息等，披露后可能引致不正当竞争的；</w:t>
      </w:r>
    </w:p>
    <w:p w14:paraId="4718513D">
      <w:pPr>
        <w:pStyle w:val="12"/>
        <w:numPr>
          <w:ilvl w:val="0"/>
          <w:numId w:val="0"/>
        </w:numPr>
        <w:spacing w:after="120"/>
        <w:ind w:left="420" w:leftChars="0"/>
        <w:rPr>
          <w:rFonts w:hint="eastAsia"/>
        </w:rPr>
      </w:pPr>
      <w:r>
        <w:rPr>
          <w:rFonts w:hint="eastAsia"/>
        </w:rPr>
        <w:t>（二）属于公司自身经营信息，客户、供应商等他人经营信息，披露后可能侵犯公司、他人商业秘密或者严重损害公司、他人利益的；</w:t>
      </w:r>
    </w:p>
    <w:p w14:paraId="0715D8F4">
      <w:pPr>
        <w:pStyle w:val="12"/>
        <w:numPr>
          <w:ilvl w:val="0"/>
          <w:numId w:val="0"/>
        </w:numPr>
        <w:spacing w:after="120"/>
        <w:ind w:left="420" w:leftChars="0"/>
        <w:rPr>
          <w:rFonts w:hint="eastAsia" w:eastAsiaTheme="minorEastAsia"/>
          <w:lang w:eastAsia="zh-CN"/>
        </w:rPr>
      </w:pPr>
      <w:r>
        <w:rPr>
          <w:rFonts w:hint="eastAsia"/>
        </w:rPr>
        <w:t>（三）披露后可能严重损害公司、他人利益的其他情形。</w:t>
      </w:r>
    </w:p>
    <w:p w14:paraId="7E06AFCC">
      <w:pPr>
        <w:pStyle w:val="12"/>
        <w:numPr>
          <w:ilvl w:val="0"/>
          <w:numId w:val="2"/>
        </w:numPr>
        <w:spacing w:after="120"/>
        <w:ind w:firstLineChars="0"/>
      </w:pPr>
      <w:r>
        <w:rPr>
          <w:rFonts w:hint="eastAsia"/>
        </w:rPr>
        <w:t>公司及相关信息披露义务人暂缓、豁免披露商业秘密后，出现下列情形之一的，应当及时披露，并说明该信息认定为商业秘密的主要理由、内部审核程序以及未披露期间相关内幕信息知情人买卖公司股票情况等：</w:t>
      </w:r>
    </w:p>
    <w:p w14:paraId="56D02601">
      <w:pPr>
        <w:pStyle w:val="12"/>
        <w:numPr>
          <w:ilvl w:val="0"/>
          <w:numId w:val="0"/>
        </w:numPr>
        <w:spacing w:after="120"/>
        <w:ind w:left="420" w:leftChars="0"/>
        <w:rPr>
          <w:rFonts w:hint="eastAsia"/>
        </w:rPr>
      </w:pPr>
      <w:r>
        <w:rPr>
          <w:rFonts w:hint="eastAsia"/>
        </w:rPr>
        <w:t>（一）暂缓、豁免披露原因已消除；</w:t>
      </w:r>
    </w:p>
    <w:p w14:paraId="32D8C747">
      <w:pPr>
        <w:pStyle w:val="12"/>
        <w:numPr>
          <w:ilvl w:val="0"/>
          <w:numId w:val="0"/>
        </w:numPr>
        <w:spacing w:after="120"/>
        <w:ind w:left="420" w:leftChars="0"/>
        <w:rPr>
          <w:rFonts w:hint="eastAsia"/>
        </w:rPr>
      </w:pPr>
      <w:r>
        <w:rPr>
          <w:rFonts w:hint="eastAsia"/>
        </w:rPr>
        <w:t>（二）有关信息难以保密；</w:t>
      </w:r>
    </w:p>
    <w:p w14:paraId="6C216257">
      <w:pPr>
        <w:pStyle w:val="12"/>
        <w:numPr>
          <w:ilvl w:val="0"/>
          <w:numId w:val="0"/>
        </w:numPr>
        <w:spacing w:after="120"/>
        <w:ind w:left="420" w:leftChars="0"/>
      </w:pPr>
      <w:r>
        <w:rPr>
          <w:rFonts w:hint="eastAsia"/>
        </w:rPr>
        <w:t>（三）有关信息已经泄露或者市场出现传闻。</w:t>
      </w:r>
    </w:p>
    <w:p w14:paraId="3B378F06">
      <w:pPr>
        <w:pStyle w:val="12"/>
        <w:numPr>
          <w:ilvl w:val="0"/>
          <w:numId w:val="2"/>
        </w:numPr>
        <w:spacing w:after="120"/>
        <w:ind w:firstLineChars="0"/>
      </w:pPr>
      <w:r>
        <w:rPr>
          <w:rFonts w:hint="eastAsia"/>
        </w:rPr>
        <w:t>公司拟披露的定期报告中有关信息涉及国家秘密、商业秘密的，可以采用代称、汇总概括或者隐去关键信息等方式豁免披露该部分信息。</w:t>
      </w:r>
    </w:p>
    <w:p w14:paraId="3FEE2AE6">
      <w:pPr>
        <w:pStyle w:val="12"/>
        <w:keepNext w:val="0"/>
        <w:keepLines w:val="0"/>
        <w:pageBreakBefore w:val="0"/>
        <w:widowControl/>
        <w:numPr>
          <w:ilvl w:val="0"/>
          <w:numId w:val="0"/>
        </w:numPr>
        <w:kinsoku/>
        <w:wordWrap/>
        <w:overflowPunct/>
        <w:topLinePunct w:val="0"/>
        <w:autoSpaceDE/>
        <w:autoSpaceDN/>
        <w:bidi w:val="0"/>
        <w:adjustRightInd w:val="0"/>
        <w:snapToGrid w:val="0"/>
        <w:spacing w:after="120"/>
        <w:ind w:left="0" w:leftChars="0" w:firstLine="480" w:firstLineChars="200"/>
        <w:textAlignment w:val="auto"/>
        <w:rPr>
          <w:rFonts w:hint="eastAsia" w:eastAsiaTheme="minorEastAsia"/>
          <w:lang w:eastAsia="zh-CN"/>
        </w:rPr>
      </w:pPr>
      <w:r>
        <w:rPr>
          <w:rFonts w:hint="eastAsia"/>
        </w:rPr>
        <w:t>公司和其他信息披露义务人拟披露的临时报告中有关信息涉及国家秘密、商业秘密的，可以采用代称、汇总概括或者隐去关键信息等方式豁免披露该部分信息；在采用上述方式处理后披露仍存在泄密风险的，可以豁免披露临时报告</w:t>
      </w:r>
      <w:r>
        <w:rPr>
          <w:rFonts w:hint="eastAsia"/>
          <w:lang w:eastAsia="zh-CN"/>
        </w:rPr>
        <w:t>。</w:t>
      </w:r>
    </w:p>
    <w:p w14:paraId="149DFAC2">
      <w:pPr>
        <w:pStyle w:val="12"/>
        <w:numPr>
          <w:ilvl w:val="0"/>
          <w:numId w:val="2"/>
        </w:numPr>
        <w:spacing w:after="120"/>
        <w:ind w:firstLineChars="0"/>
      </w:pPr>
      <w:r>
        <w:rPr>
          <w:rFonts w:hint="eastAsia"/>
        </w:rPr>
        <w:t>公司应当审慎确定信息披露暂缓、豁免事项，公司决定对特定信息作暂缓、豁免披露处理的，应当由公司董事会秘书负责登记，并经公司董事长签字确认后，妥善归档保管。</w:t>
      </w:r>
    </w:p>
    <w:p w14:paraId="42AEDD04">
      <w:pPr>
        <w:pStyle w:val="12"/>
        <w:numPr>
          <w:ilvl w:val="0"/>
          <w:numId w:val="0"/>
        </w:numPr>
        <w:spacing w:after="120"/>
        <w:ind w:left="420" w:leftChars="0"/>
        <w:rPr>
          <w:rFonts w:hint="eastAsia"/>
        </w:rPr>
      </w:pPr>
      <w:r>
        <w:rPr>
          <w:rFonts w:hint="eastAsia"/>
        </w:rPr>
        <w:t>董事会秘书登记的事项包括：</w:t>
      </w:r>
    </w:p>
    <w:p w14:paraId="4FE6CB36">
      <w:pPr>
        <w:pStyle w:val="12"/>
        <w:numPr>
          <w:ilvl w:val="0"/>
          <w:numId w:val="0"/>
        </w:numPr>
        <w:spacing w:after="120"/>
        <w:ind w:left="420" w:leftChars="0"/>
        <w:rPr>
          <w:rFonts w:hint="eastAsia"/>
        </w:rPr>
      </w:pPr>
      <w:r>
        <w:rPr>
          <w:rFonts w:hint="eastAsia"/>
        </w:rPr>
        <w:t>（一）豁免披露的方式，包括豁免披露临时报告、豁免披露定期报告或者临时报告中的有关内容等；</w:t>
      </w:r>
    </w:p>
    <w:p w14:paraId="0277ED5D">
      <w:pPr>
        <w:pStyle w:val="12"/>
        <w:numPr>
          <w:ilvl w:val="0"/>
          <w:numId w:val="0"/>
        </w:numPr>
        <w:spacing w:after="120"/>
        <w:ind w:left="420" w:leftChars="0"/>
        <w:rPr>
          <w:rFonts w:hint="eastAsia"/>
        </w:rPr>
      </w:pPr>
      <w:r>
        <w:rPr>
          <w:rFonts w:hint="eastAsia"/>
        </w:rPr>
        <w:t>（二）豁免披露所涉文件类型，包括年度报告、半年度报告、季度报告、临时报告等；</w:t>
      </w:r>
    </w:p>
    <w:p w14:paraId="4A87410F">
      <w:pPr>
        <w:pStyle w:val="12"/>
        <w:numPr>
          <w:ilvl w:val="0"/>
          <w:numId w:val="0"/>
        </w:numPr>
        <w:spacing w:after="120"/>
        <w:ind w:left="420" w:leftChars="0"/>
        <w:rPr>
          <w:rFonts w:hint="eastAsia"/>
        </w:rPr>
      </w:pPr>
      <w:r>
        <w:rPr>
          <w:rFonts w:hint="eastAsia"/>
        </w:rPr>
        <w:t>（三）豁免披露的信息类型，包括临时报告中的重大交易、日常交易或者关联交易，年度报告中的客户、供应商名称等；</w:t>
      </w:r>
    </w:p>
    <w:p w14:paraId="7DC45F7B">
      <w:pPr>
        <w:pStyle w:val="12"/>
        <w:numPr>
          <w:ilvl w:val="0"/>
          <w:numId w:val="0"/>
        </w:numPr>
        <w:spacing w:after="120"/>
        <w:ind w:left="420" w:leftChars="0"/>
        <w:rPr>
          <w:rFonts w:hint="eastAsia"/>
        </w:rPr>
      </w:pPr>
      <w:r>
        <w:rPr>
          <w:rFonts w:hint="eastAsia"/>
        </w:rPr>
        <w:t>（四）内部审核程序；</w:t>
      </w:r>
    </w:p>
    <w:p w14:paraId="2447BF0E">
      <w:pPr>
        <w:pStyle w:val="12"/>
        <w:numPr>
          <w:ilvl w:val="0"/>
          <w:numId w:val="0"/>
        </w:numPr>
        <w:spacing w:after="120"/>
        <w:ind w:left="420" w:leftChars="0"/>
        <w:rPr>
          <w:rFonts w:hint="eastAsia"/>
        </w:rPr>
      </w:pPr>
      <w:r>
        <w:rPr>
          <w:rFonts w:hint="eastAsia"/>
        </w:rPr>
        <w:t>（五）其他公司认为有必要登记的事项。</w:t>
      </w:r>
    </w:p>
    <w:p w14:paraId="36747589">
      <w:pPr>
        <w:pStyle w:val="12"/>
        <w:keepNext w:val="0"/>
        <w:keepLines w:val="0"/>
        <w:pageBreakBefore w:val="0"/>
        <w:widowControl/>
        <w:numPr>
          <w:ilvl w:val="0"/>
          <w:numId w:val="0"/>
        </w:numPr>
        <w:kinsoku/>
        <w:wordWrap/>
        <w:overflowPunct/>
        <w:topLinePunct w:val="0"/>
        <w:autoSpaceDE/>
        <w:autoSpaceDN/>
        <w:bidi w:val="0"/>
        <w:adjustRightInd w:val="0"/>
        <w:snapToGrid w:val="0"/>
        <w:spacing w:after="120"/>
        <w:ind w:left="0" w:leftChars="0" w:firstLine="480" w:firstLineChars="200"/>
        <w:textAlignment w:val="auto"/>
        <w:rPr>
          <w:rFonts w:hint="eastAsia"/>
        </w:rPr>
      </w:pPr>
      <w:r>
        <w:rPr>
          <w:rFonts w:hint="eastAsia"/>
        </w:rPr>
        <w:t>因涉及商业秘密暂缓或者豁免披露的，除及时登记前款规定的事项外，还应当登记相关信息是否已通过其他方式公开、认定属于商业秘密的主要理由、披露对公司或者他人可能产生的影响、内幕信息知情人名单等事项。</w:t>
      </w:r>
    </w:p>
    <w:p w14:paraId="5314F724">
      <w:pPr>
        <w:pStyle w:val="12"/>
        <w:keepNext w:val="0"/>
        <w:keepLines w:val="0"/>
        <w:pageBreakBefore w:val="0"/>
        <w:widowControl/>
        <w:numPr>
          <w:ilvl w:val="0"/>
          <w:numId w:val="0"/>
        </w:numPr>
        <w:kinsoku/>
        <w:wordWrap/>
        <w:overflowPunct/>
        <w:topLinePunct w:val="0"/>
        <w:autoSpaceDE/>
        <w:autoSpaceDN/>
        <w:bidi w:val="0"/>
        <w:adjustRightInd w:val="0"/>
        <w:snapToGrid w:val="0"/>
        <w:spacing w:after="120"/>
        <w:ind w:left="0" w:leftChars="0" w:firstLine="480" w:firstLineChars="200"/>
        <w:textAlignment w:val="auto"/>
        <w:rPr>
          <w:rFonts w:hint="eastAsia"/>
        </w:rPr>
      </w:pPr>
      <w:r>
        <w:rPr>
          <w:rFonts w:hint="eastAsia"/>
        </w:rPr>
        <w:t>公司应当妥善保存有关登记材料，保存期限为10年。</w:t>
      </w:r>
    </w:p>
    <w:p w14:paraId="79DBB788">
      <w:pPr>
        <w:pStyle w:val="12"/>
        <w:numPr>
          <w:ilvl w:val="0"/>
          <w:numId w:val="2"/>
        </w:numPr>
        <w:spacing w:after="120"/>
        <w:ind w:firstLineChars="0"/>
      </w:pPr>
      <w:r>
        <w:rPr>
          <w:rFonts w:hint="eastAsia"/>
        </w:rPr>
        <w:t>公司和其他信息披露义务人应当在年度报告、半年度报告、季度报告公告后10日内，将报告期内暂缓或者豁免披露的相关登记材料报送公司注册地证监局和证券交易所。</w:t>
      </w:r>
    </w:p>
    <w:p w14:paraId="6B38EE29">
      <w:pPr>
        <w:pStyle w:val="2"/>
        <w:numPr>
          <w:ilvl w:val="0"/>
          <w:numId w:val="1"/>
        </w:numPr>
        <w:spacing w:before="721" w:beforeLines="200" w:after="541" w:afterLines="150" w:line="240" w:lineRule="auto"/>
        <w:ind w:firstLine="0" w:firstLineChars="0"/>
        <w:rPr>
          <w:rFonts w:hint="eastAsia"/>
        </w:rPr>
      </w:pPr>
      <w:r>
        <w:rPr>
          <w:rFonts w:hint="eastAsia"/>
        </w:rPr>
        <w:t>责任追究与处理措施</w:t>
      </w:r>
    </w:p>
    <w:p w14:paraId="67D08C95">
      <w:pPr>
        <w:pStyle w:val="12"/>
        <w:numPr>
          <w:ilvl w:val="0"/>
          <w:numId w:val="2"/>
        </w:numPr>
        <w:spacing w:after="120"/>
        <w:ind w:firstLineChars="0"/>
      </w:pPr>
      <w:r>
        <w:rPr>
          <w:rFonts w:hint="eastAsia"/>
        </w:rPr>
        <w:t>公司董事、高级管理人员应当对公司信息披露的真实性、准确性、完整性、及时性、公平性负责，但有充分证据表明其已经履行勤勉尽责义务的除外</w:t>
      </w:r>
      <w:r>
        <w:t>。</w:t>
      </w:r>
    </w:p>
    <w:p w14:paraId="2A7857C9">
      <w:pPr>
        <w:pStyle w:val="12"/>
        <w:numPr>
          <w:ilvl w:val="0"/>
          <w:numId w:val="2"/>
        </w:numPr>
        <w:spacing w:after="120"/>
        <w:ind w:firstLineChars="0"/>
      </w:pPr>
      <w:r>
        <w:t>公司董事长、总经理、董事会秘书，应当对公司临时报告信息披露的真实性、准确性、完整性、及时性、公平性承担主要责任。</w:t>
      </w:r>
    </w:p>
    <w:p w14:paraId="5E4F0D90">
      <w:pPr>
        <w:pStyle w:val="12"/>
        <w:numPr>
          <w:ilvl w:val="0"/>
          <w:numId w:val="2"/>
        </w:numPr>
        <w:spacing w:after="120"/>
        <w:ind w:firstLineChars="0"/>
      </w:pPr>
      <w:r>
        <w:t>公司董事长、总经理、财务总监应对公司财务报告的真实性、准确性、完整性、及时性、公平性承担主要责任。</w:t>
      </w:r>
    </w:p>
    <w:p w14:paraId="3362E3C8">
      <w:pPr>
        <w:pStyle w:val="12"/>
        <w:numPr>
          <w:ilvl w:val="0"/>
          <w:numId w:val="2"/>
        </w:numPr>
        <w:spacing w:after="120"/>
        <w:ind w:firstLineChars="0"/>
      </w:pPr>
      <w:r>
        <w:rPr>
          <w:rFonts w:hint="eastAsia"/>
        </w:rPr>
        <w:t>公司董事、高级管理人员及有关人员失职导致信息披露违规，给公司造成严重影响的，应对责任人员处以批评、警告处罚，情节严重的，可以解除其职务，并追究其赔偿责任。涉嫌违法的，按照《证券法》等法律、行政法规的规定处罚</w:t>
      </w:r>
      <w:r>
        <w:t>。</w:t>
      </w:r>
    </w:p>
    <w:p w14:paraId="320138C1">
      <w:pPr>
        <w:pStyle w:val="2"/>
        <w:numPr>
          <w:ilvl w:val="0"/>
          <w:numId w:val="1"/>
        </w:numPr>
        <w:spacing w:before="721" w:beforeLines="200" w:after="541" w:afterLines="150" w:line="240" w:lineRule="auto"/>
        <w:ind w:firstLine="0" w:firstLineChars="0"/>
        <w:rPr>
          <w:rFonts w:hint="eastAsia"/>
        </w:rPr>
      </w:pPr>
      <w:r>
        <w:rPr>
          <w:rFonts w:hint="eastAsia"/>
        </w:rPr>
        <w:t>附则</w:t>
      </w:r>
    </w:p>
    <w:p w14:paraId="08AFC506">
      <w:pPr>
        <w:pStyle w:val="12"/>
        <w:numPr>
          <w:ilvl w:val="0"/>
          <w:numId w:val="2"/>
        </w:numPr>
        <w:spacing w:after="120"/>
        <w:ind w:firstLineChars="0"/>
      </w:pPr>
      <w:r>
        <w:t>本制度未尽事宜，依据国家有关法律法规和《上市公司信息披露管理办法》、《深圳证券交易所股票上市规则》规定执行，解释权属公司董事会。</w:t>
      </w:r>
    </w:p>
    <w:p w14:paraId="101335FC">
      <w:pPr>
        <w:pStyle w:val="12"/>
        <w:numPr>
          <w:ilvl w:val="0"/>
          <w:numId w:val="2"/>
        </w:numPr>
        <w:spacing w:after="120"/>
        <w:ind w:firstLineChars="0"/>
      </w:pPr>
      <w:r>
        <w:t>本制度所称</w:t>
      </w:r>
      <w:r>
        <w:rPr>
          <w:rFonts w:hint="eastAsia"/>
        </w:rPr>
        <w:t>“</w:t>
      </w:r>
      <w:r>
        <w:t>以上</w:t>
      </w:r>
      <w:r>
        <w:rPr>
          <w:rFonts w:hint="eastAsia"/>
        </w:rPr>
        <w:t>”</w:t>
      </w:r>
      <w:r>
        <w:t>、</w:t>
      </w:r>
      <w:r>
        <w:rPr>
          <w:rFonts w:hint="eastAsia"/>
        </w:rPr>
        <w:t>“</w:t>
      </w:r>
      <w:r>
        <w:t>以</w:t>
      </w:r>
      <w:r>
        <w:rPr>
          <w:rFonts w:hint="eastAsia"/>
        </w:rPr>
        <w:t>内”、“</w:t>
      </w:r>
      <w:r>
        <w:t>以</w:t>
      </w:r>
      <w:r>
        <w:rPr>
          <w:rFonts w:hint="eastAsia"/>
        </w:rPr>
        <w:t>下”</w:t>
      </w:r>
      <w:r>
        <w:t>，都含本数；</w:t>
      </w:r>
      <w:r>
        <w:rPr>
          <w:rFonts w:hint="eastAsia"/>
        </w:rPr>
        <w:t>“</w:t>
      </w:r>
      <w:r>
        <w:t>超过</w:t>
      </w:r>
      <w:r>
        <w:rPr>
          <w:rFonts w:hint="eastAsia"/>
        </w:rPr>
        <w:t>”</w:t>
      </w:r>
      <w:r>
        <w:t>不含本数；</w:t>
      </w:r>
      <w:r>
        <w:rPr>
          <w:rFonts w:hint="eastAsia"/>
        </w:rPr>
        <w:t>“</w:t>
      </w:r>
      <w:r>
        <w:t>及时</w:t>
      </w:r>
      <w:r>
        <w:rPr>
          <w:rFonts w:hint="eastAsia"/>
        </w:rPr>
        <w:t>”</w:t>
      </w:r>
      <w:r>
        <w:t>、</w:t>
      </w:r>
      <w:r>
        <w:rPr>
          <w:rFonts w:hint="eastAsia"/>
        </w:rPr>
        <w:t>“</w:t>
      </w:r>
      <w:r>
        <w:t>重大</w:t>
      </w:r>
      <w:r>
        <w:rPr>
          <w:rFonts w:hint="eastAsia"/>
        </w:rPr>
        <w:t>”</w:t>
      </w:r>
      <w:r>
        <w:t>，参照中国证监会及深圳证券交易所相关规定。</w:t>
      </w:r>
    </w:p>
    <w:p w14:paraId="707750CD">
      <w:pPr>
        <w:pStyle w:val="12"/>
        <w:numPr>
          <w:ilvl w:val="0"/>
          <w:numId w:val="2"/>
        </w:numPr>
        <w:spacing w:after="120"/>
        <w:ind w:firstLineChars="0"/>
      </w:pPr>
      <w:r>
        <w:rPr>
          <w:rFonts w:hint="eastAsia"/>
        </w:rPr>
        <w:t>本制度经公司董事会审议通过后实施</w:t>
      </w:r>
      <w:r>
        <w:t>。</w:t>
      </w:r>
    </w:p>
    <w:p w14:paraId="7D09F168">
      <w:pPr>
        <w:spacing w:after="120"/>
        <w:ind w:firstLine="0" w:firstLineChars="0"/>
      </w:pPr>
    </w:p>
    <w:tbl>
      <w:tblPr>
        <w:tblStyle w:val="7"/>
        <w:tblW w:w="0" w:type="auto"/>
        <w:tblInd w:w="458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38"/>
      </w:tblGrid>
      <w:tr w14:paraId="69171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8" w:type="dxa"/>
            <w:noWrap w:val="0"/>
            <w:vAlign w:val="center"/>
          </w:tcPr>
          <w:p w14:paraId="53159573">
            <w:pPr>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0" w:firstLineChars="0"/>
              <w:jc w:val="center"/>
              <w:textAlignment w:val="auto"/>
              <w:rPr>
                <w:rFonts w:hint="default" w:ascii="Times New Roman" w:hAnsi="Times New Roman" w:cs="Times New Roman"/>
                <w:sz w:val="24"/>
                <w:vertAlign w:val="baseline"/>
                <w:lang w:eastAsia="zh-CN"/>
              </w:rPr>
            </w:pPr>
            <w:r>
              <w:rPr>
                <w:rFonts w:hint="default" w:ascii="Times New Roman" w:hAnsi="Times New Roman" w:cs="Times New Roman"/>
                <w:b/>
                <w:sz w:val="24"/>
              </w:rPr>
              <w:t>广东凌霄泵业股份有限公司董事会</w:t>
            </w:r>
          </w:p>
        </w:tc>
      </w:tr>
      <w:tr w14:paraId="3B6A6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38" w:type="dxa"/>
            <w:noWrap w:val="0"/>
            <w:vAlign w:val="center"/>
          </w:tcPr>
          <w:p w14:paraId="12594190">
            <w:pPr>
              <w:keepNext w:val="0"/>
              <w:keepLines w:val="0"/>
              <w:pageBreakBefore w:val="0"/>
              <w:widowControl w:val="0"/>
              <w:kinsoku/>
              <w:wordWrap/>
              <w:overflowPunct/>
              <w:topLinePunct w:val="0"/>
              <w:autoSpaceDE/>
              <w:autoSpaceDN/>
              <w:bidi w:val="0"/>
              <w:adjustRightInd/>
              <w:snapToGrid/>
              <w:spacing w:after="0" w:afterLines="0" w:line="360" w:lineRule="auto"/>
              <w:jc w:val="center"/>
              <w:textAlignment w:val="auto"/>
              <w:rPr>
                <w:rFonts w:hint="default" w:ascii="Times New Roman" w:hAnsi="Times New Roman" w:cs="Times New Roman"/>
                <w:sz w:val="24"/>
                <w:vertAlign w:val="baseline"/>
                <w:lang w:eastAsia="zh-CN"/>
              </w:rPr>
            </w:pPr>
            <w:r>
              <w:rPr>
                <w:rFonts w:hint="default" w:ascii="Times New Roman" w:hAnsi="Times New Roman" w:cs="Times New Roman"/>
                <w:b/>
                <w:sz w:val="24"/>
                <w:lang w:eastAsia="zh-CN"/>
              </w:rPr>
              <w:t>2025年</w:t>
            </w:r>
            <w:r>
              <w:rPr>
                <w:rFonts w:hint="default" w:ascii="Times New Roman" w:hAnsi="Times New Roman" w:cs="Times New Roman"/>
                <w:b/>
                <w:sz w:val="24"/>
              </w:rPr>
              <w:t>8月</w:t>
            </w:r>
          </w:p>
        </w:tc>
      </w:tr>
    </w:tbl>
    <w:p w14:paraId="638F6236">
      <w:pPr>
        <w:spacing w:after="120"/>
        <w:ind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08" w:footer="170"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8145010"/>
      <w:docPartObj>
        <w:docPartGallery w:val="autotext"/>
      </w:docPartObj>
    </w:sdtPr>
    <w:sdtContent>
      <w:p w14:paraId="1E293C3D">
        <w:pPr>
          <w:pStyle w:val="4"/>
          <w:spacing w:after="120"/>
          <w:ind w:firstLine="360"/>
          <w:jc w:val="center"/>
        </w:pPr>
        <w:r>
          <w:fldChar w:fldCharType="begin"/>
        </w:r>
        <w:r>
          <w:instrText xml:space="preserve">PAGE   \* MERGEFORMAT</w:instrText>
        </w:r>
        <w:r>
          <w:fldChar w:fldCharType="separate"/>
        </w:r>
        <w:r>
          <w:rPr>
            <w:lang w:val="zh-CN"/>
          </w:rPr>
          <w:t>1</w:t>
        </w:r>
        <w:r>
          <w:fldChar w:fldCharType="end"/>
        </w:r>
      </w:p>
    </w:sdtContent>
  </w:sdt>
  <w:p w14:paraId="52B60DF3">
    <w:pPr>
      <w:pStyle w:val="4"/>
      <w:spacing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EA382">
    <w:pPr>
      <w:pStyle w:val="4"/>
      <w:spacing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E0A86">
    <w:pPr>
      <w:pStyle w:val="4"/>
      <w:spacing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472B4">
    <w:pPr>
      <w:spacing w:after="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2347D">
    <w:pPr>
      <w:pStyle w:val="5"/>
      <w:spacing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D67A8">
    <w:pPr>
      <w:pStyle w:val="5"/>
      <w:spacing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D3EE45"/>
    <w:multiLevelType w:val="multilevel"/>
    <w:tmpl w:val="BDD3EE45"/>
    <w:lvl w:ilvl="0" w:tentative="0">
      <w:start w:val="1"/>
      <w:numFmt w:val="chineseCountingThousand"/>
      <w:lvlText w:val="第%1节"/>
      <w:lvlJc w:val="left"/>
      <w:pPr>
        <w:ind w:left="0" w:firstLine="420"/>
      </w:pPr>
      <w:rPr>
        <w:rFonts w:hint="eastAsia"/>
        <w:b/>
        <w:i w:val="0"/>
      </w:rPr>
    </w:lvl>
    <w:lvl w:ilvl="1" w:tentative="0">
      <w:start w:val="1"/>
      <w:numFmt w:val="chineseCountingThousand"/>
      <w:suff w:val="space"/>
      <w:lvlText w:val="第%2节"/>
      <w:lvlJc w:val="left"/>
      <w:pPr>
        <w:ind w:left="0" w:leftChars="0" w:firstLine="0" w:firstLineChars="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D115A819"/>
    <w:multiLevelType w:val="multilevel"/>
    <w:tmpl w:val="D115A819"/>
    <w:lvl w:ilvl="0" w:tentative="0">
      <w:start w:val="1"/>
      <w:numFmt w:val="chineseCountingThousand"/>
      <w:suff w:val="space"/>
      <w:lvlText w:val="第%1章"/>
      <w:lvlJc w:val="left"/>
      <w:pPr>
        <w:ind w:left="0" w:firstLine="0"/>
      </w:pPr>
      <w:rPr>
        <w:rFonts w:hint="eastAsia"/>
        <w:b/>
        <w:i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6A326B3"/>
    <w:multiLevelType w:val="multilevel"/>
    <w:tmpl w:val="16A326B3"/>
    <w:lvl w:ilvl="0" w:tentative="0">
      <w:start w:val="1"/>
      <w:numFmt w:val="chineseCountingThousand"/>
      <w:suff w:val="space"/>
      <w:lvlText w:val="第%1条  "/>
      <w:lvlJc w:val="left"/>
      <w:pPr>
        <w:ind w:left="0" w:firstLine="420"/>
      </w:pPr>
      <w:rPr>
        <w:rFonts w:hint="eastAsia"/>
        <w:b/>
        <w:i w:val="0"/>
        <w:lang w:val="en-US"/>
      </w:rPr>
    </w:lvl>
    <w:lvl w:ilvl="1" w:tentative="0">
      <w:start w:val="1"/>
      <w:numFmt w:val="japaneseCounting"/>
      <w:lvlText w:val="第%2节"/>
      <w:lvlJc w:val="left"/>
      <w:pPr>
        <w:ind w:left="1215" w:hanging="795"/>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C7785"/>
    <w:rsid w:val="000E59F4"/>
    <w:rsid w:val="00151621"/>
    <w:rsid w:val="00157925"/>
    <w:rsid w:val="0019693E"/>
    <w:rsid w:val="001A5E48"/>
    <w:rsid w:val="00262D80"/>
    <w:rsid w:val="00267715"/>
    <w:rsid w:val="00282248"/>
    <w:rsid w:val="00323B43"/>
    <w:rsid w:val="003721E8"/>
    <w:rsid w:val="003D37D8"/>
    <w:rsid w:val="00426133"/>
    <w:rsid w:val="004358AB"/>
    <w:rsid w:val="00444D20"/>
    <w:rsid w:val="005058CA"/>
    <w:rsid w:val="005C52A8"/>
    <w:rsid w:val="00627565"/>
    <w:rsid w:val="006D518C"/>
    <w:rsid w:val="006E4416"/>
    <w:rsid w:val="00737085"/>
    <w:rsid w:val="007563F2"/>
    <w:rsid w:val="007F53C3"/>
    <w:rsid w:val="00804041"/>
    <w:rsid w:val="00867145"/>
    <w:rsid w:val="00874707"/>
    <w:rsid w:val="008768F1"/>
    <w:rsid w:val="00892A52"/>
    <w:rsid w:val="00892F5B"/>
    <w:rsid w:val="008A3277"/>
    <w:rsid w:val="008A64B3"/>
    <w:rsid w:val="008B7726"/>
    <w:rsid w:val="009152A3"/>
    <w:rsid w:val="00925796"/>
    <w:rsid w:val="00963BCE"/>
    <w:rsid w:val="00A05650"/>
    <w:rsid w:val="00A06A30"/>
    <w:rsid w:val="00A804D1"/>
    <w:rsid w:val="00AE3F25"/>
    <w:rsid w:val="00B23470"/>
    <w:rsid w:val="00B802EE"/>
    <w:rsid w:val="00BA0B90"/>
    <w:rsid w:val="00BA203C"/>
    <w:rsid w:val="00C935B1"/>
    <w:rsid w:val="00CE37D3"/>
    <w:rsid w:val="00D31D50"/>
    <w:rsid w:val="00D8047B"/>
    <w:rsid w:val="00DD52E3"/>
    <w:rsid w:val="00EA4627"/>
    <w:rsid w:val="00EB5E1B"/>
    <w:rsid w:val="00EB6F8B"/>
    <w:rsid w:val="00EE68F4"/>
    <w:rsid w:val="00EF0D3C"/>
    <w:rsid w:val="00FA68F0"/>
    <w:rsid w:val="017F7D8A"/>
    <w:rsid w:val="0F837B9E"/>
    <w:rsid w:val="1A23046D"/>
    <w:rsid w:val="204958C2"/>
    <w:rsid w:val="2A8C2B2F"/>
    <w:rsid w:val="2F3A73F1"/>
    <w:rsid w:val="48BA76EC"/>
    <w:rsid w:val="50483430"/>
    <w:rsid w:val="58F709A3"/>
    <w:rsid w:val="5C7956EF"/>
    <w:rsid w:val="5DB63FCD"/>
    <w:rsid w:val="7D301222"/>
    <w:rsid w:val="7E3A4B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afterLines="50" w:line="360" w:lineRule="auto"/>
      <w:ind w:firstLine="200" w:firstLineChars="200"/>
      <w:jc w:val="both"/>
    </w:pPr>
    <w:rPr>
      <w:rFonts w:ascii="Tahoma" w:hAnsi="Tahoma" w:eastAsiaTheme="minorEastAsia" w:cstheme="minorBidi"/>
      <w:sz w:val="24"/>
      <w:szCs w:val="22"/>
      <w:lang w:val="en-US" w:eastAsia="zh-CN" w:bidi="ar-SA"/>
    </w:rPr>
  </w:style>
  <w:style w:type="paragraph" w:styleId="2">
    <w:name w:val="heading 1"/>
    <w:basedOn w:val="1"/>
    <w:next w:val="1"/>
    <w:link w:val="9"/>
    <w:qFormat/>
    <w:uiPriority w:val="9"/>
    <w:pPr>
      <w:keepNext/>
      <w:keepLines/>
      <w:spacing w:before="340" w:after="330" w:line="578" w:lineRule="auto"/>
      <w:jc w:val="center"/>
      <w:outlineLvl w:val="0"/>
    </w:pPr>
    <w:rPr>
      <w:rFonts w:eastAsiaTheme="majorEastAsia"/>
      <w:b/>
      <w:bCs/>
      <w:kern w:val="44"/>
      <w:szCs w:val="44"/>
    </w:rPr>
  </w:style>
  <w:style w:type="paragraph" w:styleId="3">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unhideWhenUsed/>
    <w:qFormat/>
    <w:uiPriority w:val="99"/>
    <w:pPr>
      <w:tabs>
        <w:tab w:val="center" w:pos="4153"/>
        <w:tab w:val="right" w:pos="8306"/>
      </w:tabs>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jc w:val="center"/>
    </w:pPr>
    <w:rPr>
      <w:sz w:val="18"/>
      <w:szCs w:val="18"/>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1 Char"/>
    <w:basedOn w:val="8"/>
    <w:link w:val="2"/>
    <w:qFormat/>
    <w:uiPriority w:val="9"/>
    <w:rPr>
      <w:rFonts w:ascii="Tahoma" w:hAnsi="Tahoma" w:eastAsiaTheme="majorEastAsia"/>
      <w:b/>
      <w:bCs/>
      <w:kern w:val="44"/>
      <w:sz w:val="24"/>
      <w:szCs w:val="44"/>
    </w:rPr>
  </w:style>
  <w:style w:type="character" w:customStyle="1" w:styleId="10">
    <w:name w:val="页眉 Char"/>
    <w:basedOn w:val="8"/>
    <w:link w:val="5"/>
    <w:qFormat/>
    <w:uiPriority w:val="99"/>
    <w:rPr>
      <w:rFonts w:ascii="Tahoma" w:hAnsi="Tahoma"/>
      <w:sz w:val="18"/>
      <w:szCs w:val="18"/>
    </w:rPr>
  </w:style>
  <w:style w:type="character" w:customStyle="1" w:styleId="11">
    <w:name w:val="页脚 Char"/>
    <w:basedOn w:val="8"/>
    <w:link w:val="4"/>
    <w:qFormat/>
    <w:uiPriority w:val="99"/>
    <w:rPr>
      <w:rFonts w:ascii="Tahoma" w:hAnsi="Tahoma"/>
      <w:sz w:val="18"/>
      <w:szCs w:val="18"/>
    </w:rPr>
  </w:style>
  <w:style w:type="paragraph" w:styleId="12">
    <w:name w:val="List Paragraph"/>
    <w:basedOn w:val="1"/>
    <w:qFormat/>
    <w:uiPriority w:val="0"/>
    <w:pPr>
      <w:ind w:firstLine="420"/>
    </w:pPr>
  </w:style>
  <w:style w:type="character" w:customStyle="1" w:styleId="13">
    <w:name w:val="标题 2 Char"/>
    <w:basedOn w:val="8"/>
    <w:link w:val="3"/>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10491</Words>
  <Characters>10538</Characters>
  <Lines>66</Lines>
  <Paragraphs>18</Paragraphs>
  <TotalTime>14</TotalTime>
  <ScaleCrop>false</ScaleCrop>
  <LinksUpToDate>false</LinksUpToDate>
  <CharactersWithSpaces>10538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2025-09-08T02:58:26Z</cp:lastPrinted>
  <dcterms:modified xsi:type="dcterms:W3CDTF">2025-09-08T03:12:39Z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eyJoZGlkIjoiYWY5Mzg5N2E4ZTI3YmIwOWQ4NGM1OTE5MmIwYWJkOGYifQ==</vt:lpwstr>
  </property>
  <property fmtid="{D5CDD505-2E9C-101B-9397-08002B2CF9AE}" pid="4" name="ICV">
    <vt:lpwstr>C00D790FB6C44ADABB6277F966E8BBCF_12</vt:lpwstr>
  </property>
</Properties>
</file>